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pPr>
    </w:p>
    <w:p w:rsidR="00E2137C" w:rsidRPr="00DF2BC6" w:rsidRDefault="00E2137C">
      <w:pPr>
        <w:autoSpaceDE w:val="0"/>
        <w:autoSpaceDN w:val="0"/>
        <w:spacing w:before="100" w:after="100" w:line="580" w:lineRule="atLeast"/>
        <w:ind w:firstLine="600"/>
        <w:jc w:val="center"/>
      </w:pPr>
    </w:p>
    <w:p w:rsidR="00E2137C" w:rsidRPr="00EB78EC" w:rsidRDefault="00E2137C">
      <w:pPr>
        <w:autoSpaceDE w:val="0"/>
        <w:autoSpaceDN w:val="0"/>
        <w:spacing w:before="100" w:after="100"/>
        <w:ind w:firstLine="601"/>
        <w:jc w:val="center"/>
        <w:rPr>
          <w:color w:val="000000" w:themeColor="text1"/>
        </w:rPr>
      </w:pPr>
      <w:r w:rsidRPr="00EB78EC">
        <w:rPr>
          <w:rFonts w:cs="Times New Roman" w:hint="eastAsia"/>
          <w:b/>
          <w:bCs/>
          <w:color w:val="000000" w:themeColor="text1"/>
          <w:sz w:val="44"/>
          <w:szCs w:val="44"/>
        </w:rPr>
        <w:t>内蒙古艺术剧院</w:t>
      </w:r>
    </w:p>
    <w:p w:rsidR="00E2137C" w:rsidRDefault="00E2137C">
      <w:pPr>
        <w:autoSpaceDE w:val="0"/>
        <w:autoSpaceDN w:val="0"/>
        <w:spacing w:before="100" w:after="100"/>
        <w:ind w:firstLine="601"/>
        <w:jc w:val="center"/>
      </w:pPr>
      <w:r w:rsidRPr="00DF2BC6">
        <w:rPr>
          <w:rFonts w:cs="Times New Roman"/>
          <w:b/>
          <w:bCs/>
          <w:sz w:val="44"/>
          <w:szCs w:val="44"/>
        </w:rPr>
        <w:t>2021</w:t>
      </w:r>
      <w:r w:rsidRPr="00DF2BC6">
        <w:rPr>
          <w:rFonts w:cs="Times New Roman" w:hint="eastAsia"/>
          <w:b/>
          <w:bCs/>
          <w:sz w:val="44"/>
          <w:szCs w:val="44"/>
        </w:rPr>
        <w:t>年度决算公开报告</w:t>
      </w: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line="580" w:lineRule="atLeast"/>
        <w:ind w:firstLine="600"/>
        <w:jc w:val="center"/>
        <w:rPr>
          <w:rFonts w:ascii="Times New Roman" w:hAnsi="Times New Roman" w:cs="Times New Roman"/>
          <w:b/>
          <w:bCs/>
          <w:sz w:val="36"/>
          <w:szCs w:val="36"/>
        </w:rPr>
      </w:pPr>
    </w:p>
    <w:p w:rsidR="00E2137C" w:rsidRDefault="00E2137C">
      <w:pPr>
        <w:autoSpaceDE w:val="0"/>
        <w:autoSpaceDN w:val="0"/>
        <w:spacing w:before="100" w:after="100" w:line="580" w:lineRule="atLeast"/>
        <w:ind w:firstLine="600"/>
        <w:jc w:val="center"/>
      </w:pPr>
    </w:p>
    <w:p w:rsidR="00E2137C" w:rsidRDefault="00E2137C">
      <w:pPr>
        <w:autoSpaceDE w:val="0"/>
        <w:autoSpaceDN w:val="0"/>
        <w:spacing w:before="100" w:after="100"/>
        <w:ind w:firstLine="601"/>
      </w:pPr>
    </w:p>
    <w:p w:rsidR="00E2137C" w:rsidRDefault="00E2137C">
      <w:pPr>
        <w:autoSpaceDE w:val="0"/>
        <w:autoSpaceDN w:val="0"/>
        <w:spacing w:before="100" w:after="100"/>
        <w:ind w:firstLine="601"/>
        <w:jc w:val="center"/>
      </w:pPr>
      <w:r>
        <w:rPr>
          <w:rFonts w:ascii="Times New Roman" w:hAnsi="Times New Roman" w:cs="Times New Roman" w:hint="eastAsia"/>
          <w:b/>
          <w:bCs/>
          <w:sz w:val="44"/>
          <w:szCs w:val="44"/>
        </w:rPr>
        <w:lastRenderedPageBreak/>
        <w:t>目录</w:t>
      </w:r>
    </w:p>
    <w:p w:rsidR="00E2137C" w:rsidRDefault="00E2137C">
      <w:pPr>
        <w:autoSpaceDE w:val="0"/>
        <w:autoSpaceDN w:val="0"/>
        <w:spacing w:before="100" w:after="100"/>
        <w:ind w:firstLine="601"/>
      </w:pPr>
    </w:p>
    <w:p w:rsidR="00E2137C" w:rsidRDefault="00E2137C">
      <w:pPr>
        <w:autoSpaceDE w:val="0"/>
        <w:autoSpaceDN w:val="0"/>
        <w:spacing w:before="100" w:after="100" w:line="580" w:lineRule="atLeast"/>
        <w:ind w:firstLine="601"/>
      </w:pPr>
      <w:r>
        <w:rPr>
          <w:rFonts w:ascii="黑体" w:eastAsia="黑体" w:hAnsi="黑体" w:hint="eastAsia"/>
          <w:b/>
          <w:bCs/>
          <w:sz w:val="32"/>
          <w:szCs w:val="32"/>
        </w:rPr>
        <w:t>第一部分部门基本情况</w:t>
      </w:r>
    </w:p>
    <w:p w:rsidR="00E2137C" w:rsidRDefault="00E2137C">
      <w:pPr>
        <w:autoSpaceDE w:val="0"/>
        <w:autoSpaceDN w:val="0"/>
        <w:spacing w:before="100" w:after="100" w:line="580" w:lineRule="atLeast"/>
        <w:ind w:firstLine="600"/>
      </w:pPr>
      <w:r>
        <w:rPr>
          <w:rFonts w:ascii="Times New Roman" w:hAnsi="Times New Roman" w:cs="Times New Roman" w:hint="eastAsia"/>
          <w:sz w:val="32"/>
          <w:szCs w:val="32"/>
        </w:rPr>
        <w:t>一、主要职能职责</w:t>
      </w:r>
    </w:p>
    <w:p w:rsidR="00E2137C" w:rsidRDefault="003E31E4">
      <w:pPr>
        <w:autoSpaceDE w:val="0"/>
        <w:autoSpaceDN w:val="0"/>
        <w:spacing w:before="100" w:after="100" w:line="580" w:lineRule="atLeast"/>
        <w:ind w:firstLine="600"/>
      </w:pPr>
      <w:r>
        <w:rPr>
          <w:rFonts w:ascii="Times New Roman" w:hAnsi="Times New Roman" w:cs="Times New Roman" w:hint="eastAsia"/>
          <w:sz w:val="32"/>
          <w:szCs w:val="32"/>
        </w:rPr>
        <w:t>二、单位</w:t>
      </w:r>
      <w:r w:rsidR="00E2137C">
        <w:rPr>
          <w:rFonts w:ascii="Times New Roman" w:hAnsi="Times New Roman" w:cs="Times New Roman" w:hint="eastAsia"/>
          <w:sz w:val="32"/>
          <w:szCs w:val="32"/>
        </w:rPr>
        <w:t>机构设置及决算单位构成情况</w:t>
      </w:r>
    </w:p>
    <w:p w:rsidR="00E2137C" w:rsidRDefault="00E2137C">
      <w:pPr>
        <w:autoSpaceDE w:val="0"/>
        <w:autoSpaceDN w:val="0"/>
        <w:spacing w:before="100" w:after="100" w:line="580" w:lineRule="atLeast"/>
        <w:ind w:firstLine="601"/>
      </w:pPr>
      <w:r>
        <w:rPr>
          <w:rFonts w:ascii="黑体" w:eastAsia="黑体" w:hAnsi="黑体" w:hint="eastAsia"/>
          <w:b/>
          <w:bCs/>
          <w:sz w:val="32"/>
          <w:szCs w:val="32"/>
        </w:rPr>
        <w:t>第二部分2021年度部门决算情况说明</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一、关于</w:t>
      </w:r>
      <w:r>
        <w:rPr>
          <w:rFonts w:ascii="Times New Roman" w:cs="Times New Roman"/>
          <w:sz w:val="32"/>
          <w:szCs w:val="32"/>
        </w:rPr>
        <w:t>2021</w:t>
      </w:r>
      <w:r>
        <w:rPr>
          <w:rFonts w:ascii="Times New Roman" w:hAnsi="Times New Roman" w:cs="Times New Roman" w:hint="eastAsia"/>
          <w:sz w:val="32"/>
          <w:szCs w:val="32"/>
        </w:rPr>
        <w:t>年度预算执行情况分析</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二、关于</w:t>
      </w:r>
      <w:r>
        <w:rPr>
          <w:rFonts w:ascii="Times New Roman" w:cs="Times New Roman"/>
          <w:sz w:val="32"/>
          <w:szCs w:val="32"/>
        </w:rPr>
        <w:t>2021</w:t>
      </w:r>
      <w:r>
        <w:rPr>
          <w:rFonts w:ascii="Times New Roman" w:hAnsi="Times New Roman" w:cs="Times New Roman" w:hint="eastAsia"/>
          <w:sz w:val="32"/>
          <w:szCs w:val="32"/>
        </w:rPr>
        <w:t>年度决算情况说明</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（一）关于收支情况总体说明</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（二）关于</w:t>
      </w:r>
      <w:r>
        <w:rPr>
          <w:rFonts w:ascii="Times New Roman" w:cs="Times New Roman"/>
          <w:sz w:val="32"/>
          <w:szCs w:val="32"/>
        </w:rPr>
        <w:t>2021</w:t>
      </w:r>
      <w:r>
        <w:rPr>
          <w:rFonts w:ascii="Times New Roman" w:hAnsi="Times New Roman" w:cs="Times New Roman" w:hint="eastAsia"/>
          <w:sz w:val="32"/>
          <w:szCs w:val="32"/>
        </w:rPr>
        <w:t>年度收入决算情况说明</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（三）关于</w:t>
      </w:r>
      <w:r>
        <w:rPr>
          <w:rFonts w:ascii="Times New Roman" w:cs="Times New Roman"/>
          <w:sz w:val="32"/>
          <w:szCs w:val="32"/>
        </w:rPr>
        <w:t>2021</w:t>
      </w:r>
      <w:r>
        <w:rPr>
          <w:rFonts w:ascii="Times New Roman" w:hAnsi="Times New Roman" w:cs="Times New Roman" w:hint="eastAsia"/>
          <w:sz w:val="32"/>
          <w:szCs w:val="32"/>
        </w:rPr>
        <w:t>年度支出决算情况说明</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（四）关于</w:t>
      </w:r>
      <w:r>
        <w:rPr>
          <w:rFonts w:ascii="Times New Roman" w:cs="Times New Roman"/>
          <w:sz w:val="32"/>
          <w:szCs w:val="32"/>
        </w:rPr>
        <w:t>2021</w:t>
      </w:r>
      <w:r>
        <w:rPr>
          <w:rFonts w:ascii="Times New Roman" w:hAnsi="Times New Roman" w:cs="Times New Roman" w:hint="eastAsia"/>
          <w:sz w:val="32"/>
          <w:szCs w:val="32"/>
        </w:rPr>
        <w:t>年度财政拨款收入支出决算总体情况说明</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（五）关于</w:t>
      </w:r>
      <w:r>
        <w:rPr>
          <w:rFonts w:ascii="Times New Roman" w:cs="Times New Roman"/>
          <w:sz w:val="32"/>
          <w:szCs w:val="32"/>
        </w:rPr>
        <w:t>2021</w:t>
      </w:r>
      <w:r>
        <w:rPr>
          <w:rFonts w:ascii="Times New Roman" w:hAnsi="Times New Roman" w:cs="Times New Roman" w:hint="eastAsia"/>
          <w:sz w:val="32"/>
          <w:szCs w:val="32"/>
        </w:rPr>
        <w:t>年度一般公共预算财政拨款支出决算情况说明</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（六）关于</w:t>
      </w:r>
      <w:r>
        <w:rPr>
          <w:rFonts w:ascii="Times New Roman" w:cs="Times New Roman"/>
          <w:sz w:val="32"/>
          <w:szCs w:val="32"/>
        </w:rPr>
        <w:t>2021</w:t>
      </w:r>
      <w:r>
        <w:rPr>
          <w:rFonts w:ascii="Times New Roman" w:hAnsi="Times New Roman" w:cs="Times New Roman" w:hint="eastAsia"/>
          <w:sz w:val="32"/>
          <w:szCs w:val="32"/>
        </w:rPr>
        <w:t>年度一般公共预算财政拨款基本支出决算情况说明</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（七）关于</w:t>
      </w:r>
      <w:r>
        <w:rPr>
          <w:rFonts w:ascii="Times New Roman" w:cs="Times New Roman"/>
          <w:sz w:val="32"/>
          <w:szCs w:val="32"/>
        </w:rPr>
        <w:t>2021</w:t>
      </w:r>
      <w:r>
        <w:rPr>
          <w:rFonts w:ascii="Times New Roman" w:hAnsi="Times New Roman" w:cs="Times New Roman" w:hint="eastAsia"/>
          <w:sz w:val="32"/>
          <w:szCs w:val="32"/>
        </w:rPr>
        <w:t>年度财政拨款</w:t>
      </w:r>
      <w:r>
        <w:rPr>
          <w:rFonts w:ascii="Times New Roman" w:hAnsi="Times New Roman" w:cs="Times New Roman"/>
          <w:sz w:val="32"/>
          <w:szCs w:val="32"/>
        </w:rPr>
        <w:t>“</w:t>
      </w:r>
      <w:r>
        <w:rPr>
          <w:rFonts w:ascii="Times New Roman" w:hAnsi="Times New Roman" w:cs="Times New Roman" w:hint="eastAsia"/>
          <w:sz w:val="32"/>
          <w:szCs w:val="32"/>
        </w:rPr>
        <w:t>三公</w:t>
      </w:r>
      <w:r>
        <w:rPr>
          <w:rFonts w:ascii="Times New Roman" w:hAnsi="Times New Roman" w:cs="Times New Roman"/>
          <w:sz w:val="32"/>
          <w:szCs w:val="32"/>
        </w:rPr>
        <w:t>”</w:t>
      </w:r>
      <w:r>
        <w:rPr>
          <w:rFonts w:ascii="Times New Roman" w:hAnsi="Times New Roman" w:cs="Times New Roman" w:hint="eastAsia"/>
          <w:sz w:val="32"/>
          <w:szCs w:val="32"/>
        </w:rPr>
        <w:t>经费支出决算情况说明</w:t>
      </w:r>
    </w:p>
    <w:p w:rsidR="00E2137C" w:rsidRDefault="00E2137C">
      <w:pPr>
        <w:autoSpaceDE w:val="0"/>
        <w:autoSpaceDN w:val="0"/>
        <w:spacing w:before="100" w:after="100" w:line="580" w:lineRule="atLeast"/>
        <w:ind w:firstLine="601"/>
      </w:pPr>
      <w:r>
        <w:rPr>
          <w:rFonts w:ascii="Times New Roman" w:cs="Times New Roman"/>
          <w:sz w:val="32"/>
          <w:szCs w:val="32"/>
        </w:rPr>
        <w:t>1</w:t>
      </w:r>
      <w:r>
        <w:rPr>
          <w:rFonts w:ascii="Times New Roman" w:hAnsi="Times New Roman" w:cs="Times New Roman" w:hint="eastAsia"/>
          <w:sz w:val="32"/>
          <w:szCs w:val="32"/>
        </w:rPr>
        <w:t>、财政拨款</w:t>
      </w:r>
      <w:r>
        <w:rPr>
          <w:rFonts w:ascii="Times New Roman" w:hAnsi="Times New Roman" w:cs="Times New Roman"/>
          <w:sz w:val="32"/>
          <w:szCs w:val="32"/>
        </w:rPr>
        <w:t>“</w:t>
      </w:r>
      <w:r>
        <w:rPr>
          <w:rFonts w:ascii="Times New Roman" w:hAnsi="Times New Roman" w:cs="Times New Roman" w:hint="eastAsia"/>
          <w:sz w:val="32"/>
          <w:szCs w:val="32"/>
        </w:rPr>
        <w:t>三公</w:t>
      </w:r>
      <w:r>
        <w:rPr>
          <w:rFonts w:ascii="Times New Roman" w:hAnsi="Times New Roman" w:cs="Times New Roman"/>
          <w:sz w:val="32"/>
          <w:szCs w:val="32"/>
        </w:rPr>
        <w:t>”</w:t>
      </w:r>
      <w:r>
        <w:rPr>
          <w:rFonts w:ascii="Times New Roman" w:hAnsi="Times New Roman" w:cs="Times New Roman" w:hint="eastAsia"/>
          <w:sz w:val="32"/>
          <w:szCs w:val="32"/>
        </w:rPr>
        <w:t>经费支出决算总体情况说明</w:t>
      </w:r>
    </w:p>
    <w:p w:rsidR="00E2137C" w:rsidRDefault="00E2137C">
      <w:pPr>
        <w:autoSpaceDE w:val="0"/>
        <w:autoSpaceDN w:val="0"/>
        <w:spacing w:before="100" w:after="100" w:line="580" w:lineRule="atLeast"/>
        <w:ind w:firstLine="601"/>
      </w:pPr>
      <w:r>
        <w:rPr>
          <w:rFonts w:ascii="Times New Roman" w:cs="Times New Roman"/>
          <w:sz w:val="32"/>
          <w:szCs w:val="32"/>
        </w:rPr>
        <w:lastRenderedPageBreak/>
        <w:t>2</w:t>
      </w:r>
      <w:r>
        <w:rPr>
          <w:rFonts w:ascii="Times New Roman" w:hAnsi="Times New Roman" w:cs="Times New Roman" w:hint="eastAsia"/>
          <w:sz w:val="32"/>
          <w:szCs w:val="32"/>
        </w:rPr>
        <w:t>、财政拨款</w:t>
      </w:r>
      <w:r>
        <w:rPr>
          <w:rFonts w:ascii="Times New Roman" w:hAnsi="Times New Roman" w:cs="Times New Roman"/>
          <w:sz w:val="32"/>
          <w:szCs w:val="32"/>
        </w:rPr>
        <w:t>“</w:t>
      </w:r>
      <w:r>
        <w:rPr>
          <w:rFonts w:ascii="Times New Roman" w:hAnsi="Times New Roman" w:cs="Times New Roman" w:hint="eastAsia"/>
          <w:sz w:val="32"/>
          <w:szCs w:val="32"/>
        </w:rPr>
        <w:t>三公</w:t>
      </w:r>
      <w:r>
        <w:rPr>
          <w:rFonts w:ascii="Times New Roman" w:hAnsi="Times New Roman" w:cs="Times New Roman"/>
          <w:sz w:val="32"/>
          <w:szCs w:val="32"/>
        </w:rPr>
        <w:t>”</w:t>
      </w:r>
      <w:r>
        <w:rPr>
          <w:rFonts w:ascii="Times New Roman" w:hAnsi="Times New Roman" w:cs="Times New Roman" w:hint="eastAsia"/>
          <w:sz w:val="32"/>
          <w:szCs w:val="32"/>
        </w:rPr>
        <w:t>经费支出决算具体情况说明</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（八）关于</w:t>
      </w:r>
      <w:r>
        <w:rPr>
          <w:rFonts w:ascii="Times New Roman" w:cs="Times New Roman"/>
          <w:sz w:val="32"/>
          <w:szCs w:val="32"/>
        </w:rPr>
        <w:t>2021</w:t>
      </w:r>
      <w:r>
        <w:rPr>
          <w:rFonts w:ascii="Times New Roman" w:hAnsi="Times New Roman" w:cs="Times New Roman" w:hint="eastAsia"/>
          <w:sz w:val="32"/>
          <w:szCs w:val="32"/>
        </w:rPr>
        <w:t>年度政府性基金预算财政拨款支出决算情况说明</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（九）关于</w:t>
      </w:r>
      <w:r>
        <w:rPr>
          <w:rFonts w:ascii="Times New Roman" w:cs="Times New Roman"/>
          <w:sz w:val="32"/>
          <w:szCs w:val="32"/>
        </w:rPr>
        <w:t>2021</w:t>
      </w:r>
      <w:r>
        <w:rPr>
          <w:rFonts w:ascii="Times New Roman" w:hAnsi="Times New Roman" w:cs="Times New Roman" w:hint="eastAsia"/>
          <w:sz w:val="32"/>
          <w:szCs w:val="32"/>
        </w:rPr>
        <w:t>年度国有资本经营预算支出决算情况说明</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（十）关于</w:t>
      </w:r>
      <w:r>
        <w:rPr>
          <w:rFonts w:ascii="Times New Roman" w:cs="Times New Roman"/>
          <w:sz w:val="32"/>
          <w:szCs w:val="32"/>
        </w:rPr>
        <w:t>2021</w:t>
      </w:r>
      <w:r>
        <w:rPr>
          <w:rFonts w:ascii="Times New Roman" w:hAnsi="Times New Roman" w:cs="Times New Roman" w:hint="eastAsia"/>
          <w:sz w:val="32"/>
          <w:szCs w:val="32"/>
        </w:rPr>
        <w:t>年度项目支出决算情况说明</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（十一）政府采购支出情况</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（十二）机关运行经费支出情况</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（十三）国有资产占用情况</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三、预算绩效评价工作开展情况</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（一）预算绩效管理工作开展情况</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（二）部门决算中项目绩效自评结果</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（三）部门评价项目绩效评价结果</w:t>
      </w:r>
    </w:p>
    <w:p w:rsidR="00E2137C" w:rsidRDefault="00E2137C">
      <w:pPr>
        <w:autoSpaceDE w:val="0"/>
        <w:autoSpaceDN w:val="0"/>
        <w:spacing w:before="100" w:after="100" w:line="580" w:lineRule="atLeast"/>
        <w:ind w:firstLine="601"/>
      </w:pPr>
      <w:r>
        <w:rPr>
          <w:rFonts w:ascii="黑体" w:eastAsia="黑体" w:hAnsi="黑体" w:hint="eastAsia"/>
          <w:b/>
          <w:bCs/>
          <w:sz w:val="32"/>
          <w:szCs w:val="32"/>
        </w:rPr>
        <w:t>第三部分名词解释</w:t>
      </w:r>
    </w:p>
    <w:p w:rsidR="00E2137C" w:rsidRDefault="00E2137C">
      <w:pPr>
        <w:autoSpaceDE w:val="0"/>
        <w:autoSpaceDN w:val="0"/>
        <w:spacing w:before="100" w:after="100" w:line="580" w:lineRule="atLeast"/>
        <w:ind w:firstLine="601"/>
      </w:pPr>
      <w:r>
        <w:rPr>
          <w:rFonts w:ascii="黑体" w:eastAsia="黑体" w:hAnsi="黑体" w:hint="eastAsia"/>
          <w:b/>
          <w:bCs/>
          <w:sz w:val="32"/>
          <w:szCs w:val="32"/>
        </w:rPr>
        <w:t>第四部分决算公开联系方式及信息反馈渠道</w:t>
      </w:r>
    </w:p>
    <w:p w:rsidR="00E2137C" w:rsidRDefault="00E2137C">
      <w:pPr>
        <w:autoSpaceDE w:val="0"/>
        <w:autoSpaceDN w:val="0"/>
        <w:spacing w:before="100" w:after="100" w:line="580" w:lineRule="atLeast"/>
        <w:ind w:firstLine="601"/>
      </w:pPr>
      <w:r>
        <w:rPr>
          <w:rFonts w:ascii="黑体" w:eastAsia="黑体" w:hAnsi="黑体" w:hint="eastAsia"/>
          <w:b/>
          <w:bCs/>
          <w:sz w:val="32"/>
          <w:szCs w:val="32"/>
        </w:rPr>
        <w:t>第五部分部门决算公开表</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一、收入支出决算总表</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二、收入决算表</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三、支出决算表</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lastRenderedPageBreak/>
        <w:t>四、财政拨款收入支出决算总表</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五、项目收入支出决算表</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六、一般公共预算财政拨款支出决算表</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七、一般公共预算财政拨款基本支出决算明细表</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八、政府性基金预算财政拨款收入支出决算表</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九、国有资本经营预算财政拨款收入支出决算表</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十、财政拨款</w:t>
      </w:r>
      <w:r>
        <w:rPr>
          <w:rFonts w:ascii="Times New Roman" w:hAnsi="Times New Roman" w:cs="Times New Roman"/>
          <w:sz w:val="32"/>
          <w:szCs w:val="32"/>
        </w:rPr>
        <w:t>“</w:t>
      </w:r>
      <w:r>
        <w:rPr>
          <w:rFonts w:ascii="Times New Roman" w:hAnsi="Times New Roman" w:cs="Times New Roman" w:hint="eastAsia"/>
          <w:sz w:val="32"/>
          <w:szCs w:val="32"/>
        </w:rPr>
        <w:t>三公</w:t>
      </w:r>
      <w:r>
        <w:rPr>
          <w:rFonts w:ascii="Times New Roman" w:hAnsi="Times New Roman" w:cs="Times New Roman"/>
          <w:sz w:val="32"/>
          <w:szCs w:val="32"/>
        </w:rPr>
        <w:t>”</w:t>
      </w:r>
      <w:r>
        <w:rPr>
          <w:rFonts w:ascii="Times New Roman" w:hAnsi="Times New Roman" w:cs="Times New Roman" w:hint="eastAsia"/>
          <w:sz w:val="32"/>
          <w:szCs w:val="32"/>
        </w:rPr>
        <w:t>经费支出决算表</w:t>
      </w:r>
    </w:p>
    <w:p w:rsidR="00E2137C" w:rsidRDefault="00E2137C">
      <w:pPr>
        <w:autoSpaceDE w:val="0"/>
        <w:autoSpaceDN w:val="0"/>
        <w:spacing w:before="100" w:after="100" w:line="580" w:lineRule="atLeast"/>
        <w:ind w:firstLine="601"/>
      </w:pPr>
      <w:r>
        <w:rPr>
          <w:rFonts w:ascii="Times New Roman" w:hAnsi="Times New Roman" w:cs="Times New Roman" w:hint="eastAsia"/>
          <w:sz w:val="32"/>
          <w:szCs w:val="32"/>
        </w:rPr>
        <w:t>十一、机关运行经费支出、国有资产占用情况及政府采购支出信息表</w:t>
      </w:r>
    </w:p>
    <w:p w:rsidR="00E2137C" w:rsidRDefault="00E2137C">
      <w:pPr>
        <w:autoSpaceDE w:val="0"/>
        <w:autoSpaceDN w:val="0"/>
        <w:spacing w:before="100" w:after="100"/>
        <w:ind w:firstLine="601"/>
      </w:pPr>
    </w:p>
    <w:p w:rsidR="00E2137C" w:rsidRDefault="00E2137C">
      <w:pPr>
        <w:autoSpaceDE w:val="0"/>
        <w:autoSpaceDN w:val="0"/>
        <w:spacing w:before="100" w:beforeAutospacing="1" w:after="100" w:afterAutospacing="1"/>
      </w:pPr>
    </w:p>
    <w:p w:rsidR="00E2137C" w:rsidRDefault="00E2137C">
      <w:pPr>
        <w:autoSpaceDE w:val="0"/>
        <w:autoSpaceDN w:val="0"/>
        <w:spacing w:before="100" w:beforeAutospacing="1" w:after="100" w:afterAutospacing="1"/>
      </w:pPr>
    </w:p>
    <w:p w:rsidR="00E2137C" w:rsidRDefault="00E2137C">
      <w:pPr>
        <w:autoSpaceDE w:val="0"/>
        <w:autoSpaceDN w:val="0"/>
        <w:spacing w:before="100" w:beforeAutospacing="1" w:after="100" w:afterAutospacing="1"/>
      </w:pPr>
    </w:p>
    <w:p w:rsidR="00E2137C" w:rsidRDefault="00E2137C">
      <w:pPr>
        <w:autoSpaceDE w:val="0"/>
        <w:autoSpaceDN w:val="0"/>
        <w:spacing w:before="100" w:beforeAutospacing="1" w:after="100" w:afterAutospacing="1"/>
      </w:pPr>
    </w:p>
    <w:p w:rsidR="00E2137C" w:rsidRDefault="00E2137C">
      <w:pPr>
        <w:autoSpaceDE w:val="0"/>
        <w:autoSpaceDN w:val="0"/>
        <w:spacing w:before="100" w:beforeAutospacing="1" w:after="100" w:afterAutospacing="1"/>
      </w:pPr>
    </w:p>
    <w:p w:rsidR="00E2137C" w:rsidRDefault="00E2137C">
      <w:pPr>
        <w:autoSpaceDE w:val="0"/>
        <w:autoSpaceDN w:val="0"/>
        <w:spacing w:before="100" w:beforeAutospacing="1" w:after="100" w:afterAutospacing="1"/>
      </w:pPr>
    </w:p>
    <w:p w:rsidR="00E2137C" w:rsidRDefault="00E2137C">
      <w:pPr>
        <w:autoSpaceDE w:val="0"/>
        <w:autoSpaceDN w:val="0"/>
        <w:spacing w:before="100" w:beforeAutospacing="1" w:after="100" w:afterAutospacing="1"/>
      </w:pPr>
    </w:p>
    <w:p w:rsidR="00E2137C" w:rsidRDefault="00E2137C">
      <w:pPr>
        <w:autoSpaceDE w:val="0"/>
        <w:autoSpaceDN w:val="0"/>
        <w:spacing w:before="100" w:beforeAutospacing="1" w:after="100" w:afterAutospacing="1"/>
      </w:pPr>
    </w:p>
    <w:p w:rsidR="00E2137C" w:rsidRDefault="00E2137C">
      <w:pPr>
        <w:autoSpaceDE w:val="0"/>
        <w:autoSpaceDN w:val="0"/>
        <w:spacing w:before="100" w:beforeAutospacing="1" w:after="100" w:afterAutospacing="1"/>
      </w:pPr>
    </w:p>
    <w:p w:rsidR="00E2137C" w:rsidRDefault="00E2137C">
      <w:pPr>
        <w:autoSpaceDE w:val="0"/>
        <w:autoSpaceDN w:val="0"/>
        <w:spacing w:before="100" w:beforeAutospacing="1" w:after="100" w:afterAutospacing="1"/>
      </w:pPr>
    </w:p>
    <w:p w:rsidR="00E2137C" w:rsidRDefault="00E2137C">
      <w:pPr>
        <w:autoSpaceDE w:val="0"/>
        <w:autoSpaceDN w:val="0"/>
        <w:spacing w:before="100" w:beforeAutospacing="1" w:after="100" w:afterAutospacing="1"/>
      </w:pPr>
    </w:p>
    <w:p w:rsidR="00E2137C" w:rsidRDefault="00E2137C">
      <w:pPr>
        <w:autoSpaceDE w:val="0"/>
        <w:autoSpaceDN w:val="0"/>
        <w:spacing w:before="100" w:beforeAutospacing="1" w:after="100" w:afterAutospacing="1"/>
      </w:pPr>
    </w:p>
    <w:p w:rsidR="00E2137C" w:rsidRDefault="00E2137C">
      <w:pPr>
        <w:autoSpaceDE w:val="0"/>
        <w:autoSpaceDN w:val="0"/>
        <w:spacing w:before="100" w:after="100" w:line="580" w:lineRule="atLeast"/>
        <w:ind w:firstLine="600"/>
      </w:pPr>
      <w:r>
        <w:rPr>
          <w:rFonts w:ascii="Times New Roman" w:hAnsi="Times New Roman" w:cs="Times New Roman" w:hint="eastAsia"/>
          <w:b/>
          <w:bCs/>
          <w:sz w:val="32"/>
          <w:szCs w:val="32"/>
        </w:rPr>
        <w:lastRenderedPageBreak/>
        <w:t>第一部分部门基本情况</w:t>
      </w:r>
    </w:p>
    <w:p w:rsidR="00E2137C" w:rsidRPr="00DF2BC6" w:rsidRDefault="00E2137C">
      <w:pPr>
        <w:autoSpaceDE w:val="0"/>
        <w:autoSpaceDN w:val="0"/>
        <w:spacing w:before="100" w:after="100" w:line="580" w:lineRule="atLeast"/>
        <w:ind w:firstLine="600"/>
        <w:rPr>
          <w:rFonts w:ascii="黑体" w:eastAsia="黑体" w:hAnsi="黑体"/>
          <w:sz w:val="32"/>
          <w:szCs w:val="32"/>
        </w:rPr>
      </w:pPr>
      <w:r w:rsidRPr="00DF2BC6">
        <w:rPr>
          <w:rFonts w:ascii="黑体" w:eastAsia="黑体" w:hAnsi="黑体" w:hint="eastAsia"/>
          <w:sz w:val="32"/>
          <w:szCs w:val="32"/>
        </w:rPr>
        <w:t>一、主要职能职责</w:t>
      </w:r>
    </w:p>
    <w:p w:rsidR="00E2137C" w:rsidRPr="00DF2BC6" w:rsidRDefault="00E2137C">
      <w:pPr>
        <w:autoSpaceDE w:val="0"/>
        <w:autoSpaceDN w:val="0"/>
        <w:spacing w:before="100" w:after="100" w:line="580" w:lineRule="atLeast"/>
        <w:ind w:firstLine="600"/>
        <w:rPr>
          <w:rFonts w:ascii="华文楷体" w:eastAsia="华文楷体" w:hAnsi="华文楷体"/>
          <w:b/>
          <w:sz w:val="32"/>
          <w:szCs w:val="32"/>
        </w:rPr>
      </w:pPr>
      <w:r w:rsidRPr="00DF2BC6">
        <w:rPr>
          <w:rFonts w:ascii="华文楷体" w:eastAsia="华文楷体" w:hAnsi="华文楷体" w:hint="eastAsia"/>
          <w:b/>
          <w:sz w:val="32"/>
          <w:szCs w:val="32"/>
        </w:rPr>
        <w:t>（一）单位职能</w:t>
      </w:r>
    </w:p>
    <w:p w:rsidR="00E2137C" w:rsidRPr="007653A5" w:rsidRDefault="00E2137C">
      <w:pPr>
        <w:autoSpaceDE w:val="0"/>
        <w:autoSpaceDN w:val="0"/>
        <w:spacing w:before="100" w:beforeAutospacing="1" w:after="100" w:afterAutospacing="1" w:line="580" w:lineRule="atLeast"/>
        <w:ind w:firstLine="600"/>
        <w:rPr>
          <w:rFonts w:ascii="仿宋" w:eastAsia="仿宋" w:hAnsi="仿宋" w:cs="Times New Roman"/>
          <w:sz w:val="32"/>
          <w:szCs w:val="32"/>
        </w:rPr>
      </w:pPr>
      <w:r w:rsidRPr="007653A5">
        <w:rPr>
          <w:rFonts w:ascii="仿宋" w:eastAsia="仿宋" w:hAnsi="仿宋" w:cs="Times New Roman" w:hint="eastAsia"/>
          <w:sz w:val="32"/>
          <w:szCs w:val="32"/>
        </w:rPr>
        <w:t>内蒙古艺术剧院是自治区文化和旅游厅所属</w:t>
      </w:r>
      <w:r w:rsidR="00E46F61" w:rsidRPr="007653A5">
        <w:rPr>
          <w:rFonts w:ascii="仿宋" w:eastAsia="仿宋" w:hAnsi="仿宋" w:cs="Times New Roman" w:hint="eastAsia"/>
          <w:sz w:val="32"/>
          <w:szCs w:val="32"/>
        </w:rPr>
        <w:t>正厅级</w:t>
      </w:r>
      <w:r w:rsidRPr="007653A5">
        <w:rPr>
          <w:rFonts w:ascii="仿宋" w:eastAsia="仿宋" w:hAnsi="仿宋" w:cs="Times New Roman" w:hint="eastAsia"/>
          <w:sz w:val="32"/>
          <w:szCs w:val="32"/>
        </w:rPr>
        <w:t>公益二类事业单位。</w:t>
      </w:r>
    </w:p>
    <w:p w:rsidR="00E2137C" w:rsidRPr="00DF2BC6" w:rsidRDefault="00E2137C">
      <w:pPr>
        <w:autoSpaceDE w:val="0"/>
        <w:autoSpaceDN w:val="0"/>
        <w:spacing w:before="100" w:after="100" w:line="580" w:lineRule="atLeast"/>
        <w:ind w:firstLine="600"/>
        <w:rPr>
          <w:rFonts w:ascii="华文楷体" w:eastAsia="华文楷体" w:hAnsi="华文楷体"/>
          <w:b/>
          <w:sz w:val="32"/>
          <w:szCs w:val="32"/>
        </w:rPr>
      </w:pPr>
      <w:r w:rsidRPr="00DF2BC6">
        <w:rPr>
          <w:rFonts w:ascii="华文楷体" w:eastAsia="华文楷体" w:hAnsi="华文楷体" w:hint="eastAsia"/>
          <w:b/>
          <w:sz w:val="32"/>
          <w:szCs w:val="32"/>
        </w:rPr>
        <w:t>（二）单位主要职责</w:t>
      </w:r>
    </w:p>
    <w:p w:rsidR="00E2137C" w:rsidRPr="007653A5" w:rsidRDefault="00E2137C">
      <w:pPr>
        <w:autoSpaceDE w:val="0"/>
        <w:autoSpaceDN w:val="0"/>
        <w:spacing w:before="100" w:beforeAutospacing="1" w:after="100" w:afterAutospacing="1" w:line="580" w:lineRule="atLeast"/>
        <w:ind w:firstLine="600"/>
        <w:rPr>
          <w:rFonts w:ascii="仿宋" w:eastAsia="仿宋" w:hAnsi="仿宋" w:cs="Times New Roman"/>
          <w:sz w:val="32"/>
          <w:szCs w:val="32"/>
        </w:rPr>
      </w:pPr>
      <w:r w:rsidRPr="007653A5">
        <w:rPr>
          <w:rFonts w:ascii="仿宋" w:eastAsia="仿宋" w:hAnsi="仿宋" w:cs="Times New Roman"/>
          <w:sz w:val="32"/>
          <w:szCs w:val="32"/>
        </w:rPr>
        <w:t>1</w:t>
      </w:r>
      <w:r w:rsidRPr="007653A5">
        <w:rPr>
          <w:rFonts w:ascii="仿宋" w:eastAsia="仿宋" w:hAnsi="仿宋" w:cs="Times New Roman" w:hint="eastAsia"/>
          <w:sz w:val="32"/>
          <w:szCs w:val="32"/>
        </w:rPr>
        <w:t>、贯彻落实党的路线、方针、政策，弘扬中华优秀传统文化，铸牢中华民族共同体意识。</w:t>
      </w:r>
    </w:p>
    <w:p w:rsidR="00E2137C" w:rsidRPr="007653A5" w:rsidRDefault="00E2137C">
      <w:pPr>
        <w:autoSpaceDE w:val="0"/>
        <w:autoSpaceDN w:val="0"/>
        <w:spacing w:before="100" w:beforeAutospacing="1" w:after="100" w:afterAutospacing="1" w:line="580" w:lineRule="atLeast"/>
        <w:ind w:firstLine="600"/>
        <w:rPr>
          <w:rFonts w:ascii="仿宋" w:eastAsia="仿宋" w:hAnsi="仿宋" w:cs="Times New Roman"/>
          <w:sz w:val="32"/>
          <w:szCs w:val="32"/>
        </w:rPr>
      </w:pPr>
      <w:r w:rsidRPr="007653A5">
        <w:rPr>
          <w:rFonts w:ascii="仿宋" w:eastAsia="仿宋" w:hAnsi="仿宋" w:cs="Times New Roman"/>
          <w:sz w:val="32"/>
          <w:szCs w:val="32"/>
        </w:rPr>
        <w:t>2</w:t>
      </w:r>
      <w:r w:rsidRPr="007653A5">
        <w:rPr>
          <w:rFonts w:ascii="仿宋" w:eastAsia="仿宋" w:hAnsi="仿宋" w:cs="Times New Roman" w:hint="eastAsia"/>
          <w:sz w:val="32"/>
          <w:szCs w:val="32"/>
        </w:rPr>
        <w:t>、创作、演出、推广具有内蒙古文化特色的艺术作品，繁荣发展舞剧、歌剧、歌舞剧、蒙古剧、音乐剧、无伴奏合唱、交响乐、民族器乐、民族曲艺、二人台、京剧、杂技、话剧等艺术形式。</w:t>
      </w:r>
    </w:p>
    <w:p w:rsidR="00E2137C" w:rsidRPr="007653A5" w:rsidRDefault="00E2137C">
      <w:pPr>
        <w:autoSpaceDE w:val="0"/>
        <w:autoSpaceDN w:val="0"/>
        <w:spacing w:before="100" w:beforeAutospacing="1" w:after="100" w:afterAutospacing="1" w:line="580" w:lineRule="atLeast"/>
        <w:ind w:firstLine="600"/>
        <w:rPr>
          <w:rFonts w:ascii="仿宋" w:eastAsia="仿宋" w:hAnsi="仿宋" w:cs="Times New Roman"/>
          <w:sz w:val="32"/>
          <w:szCs w:val="32"/>
        </w:rPr>
      </w:pPr>
      <w:r w:rsidRPr="007653A5">
        <w:rPr>
          <w:rFonts w:ascii="仿宋" w:eastAsia="仿宋" w:hAnsi="仿宋" w:cs="Times New Roman"/>
          <w:sz w:val="32"/>
          <w:szCs w:val="32"/>
        </w:rPr>
        <w:t>3</w:t>
      </w:r>
      <w:r w:rsidRPr="007653A5">
        <w:rPr>
          <w:rFonts w:ascii="仿宋" w:eastAsia="仿宋" w:hAnsi="仿宋" w:cs="Times New Roman" w:hint="eastAsia"/>
          <w:sz w:val="32"/>
          <w:szCs w:val="32"/>
        </w:rPr>
        <w:t>、承担国家和自治区重大文艺活动、公益性演出和对外文化交流任务。</w:t>
      </w:r>
    </w:p>
    <w:p w:rsidR="00E2137C" w:rsidRPr="007653A5" w:rsidRDefault="00E2137C">
      <w:pPr>
        <w:autoSpaceDE w:val="0"/>
        <w:autoSpaceDN w:val="0"/>
        <w:spacing w:before="100" w:beforeAutospacing="1" w:after="100" w:afterAutospacing="1" w:line="580" w:lineRule="atLeast"/>
        <w:ind w:firstLine="600"/>
        <w:rPr>
          <w:rFonts w:ascii="仿宋" w:eastAsia="仿宋" w:hAnsi="仿宋" w:cs="Times New Roman"/>
          <w:sz w:val="32"/>
          <w:szCs w:val="32"/>
        </w:rPr>
      </w:pPr>
      <w:r w:rsidRPr="007653A5">
        <w:rPr>
          <w:rFonts w:ascii="仿宋" w:eastAsia="仿宋" w:hAnsi="仿宋" w:cs="Times New Roman"/>
          <w:sz w:val="32"/>
          <w:szCs w:val="32"/>
        </w:rPr>
        <w:t>4</w:t>
      </w:r>
      <w:r w:rsidRPr="007653A5">
        <w:rPr>
          <w:rFonts w:ascii="仿宋" w:eastAsia="仿宋" w:hAnsi="仿宋" w:cs="Times New Roman" w:hint="eastAsia"/>
          <w:sz w:val="32"/>
          <w:szCs w:val="32"/>
        </w:rPr>
        <w:t>、开展艺术创作研究、演出经营、剧场运营管理、人才培训、舞美服务等相关工作。</w:t>
      </w:r>
    </w:p>
    <w:p w:rsidR="00E2137C" w:rsidRPr="007653A5" w:rsidRDefault="00E2137C">
      <w:pPr>
        <w:autoSpaceDE w:val="0"/>
        <w:autoSpaceDN w:val="0"/>
        <w:spacing w:before="100" w:beforeAutospacing="1" w:after="100" w:afterAutospacing="1" w:line="580" w:lineRule="atLeast"/>
        <w:ind w:firstLine="600"/>
        <w:rPr>
          <w:rFonts w:ascii="仿宋" w:eastAsia="仿宋" w:hAnsi="仿宋" w:cs="Times New Roman"/>
          <w:sz w:val="32"/>
          <w:szCs w:val="32"/>
        </w:rPr>
      </w:pPr>
      <w:r w:rsidRPr="007653A5">
        <w:rPr>
          <w:rFonts w:ascii="仿宋" w:eastAsia="仿宋" w:hAnsi="仿宋" w:cs="Times New Roman"/>
          <w:sz w:val="32"/>
          <w:szCs w:val="32"/>
        </w:rPr>
        <w:t>5</w:t>
      </w:r>
      <w:r w:rsidRPr="007653A5">
        <w:rPr>
          <w:rFonts w:ascii="仿宋" w:eastAsia="仿宋" w:hAnsi="仿宋" w:cs="Times New Roman" w:hint="eastAsia"/>
          <w:sz w:val="32"/>
          <w:szCs w:val="32"/>
        </w:rPr>
        <w:t>、辅导基层文艺演出和创作活动，培养基层文艺骨干，深入基层开展综合服务活动。</w:t>
      </w:r>
    </w:p>
    <w:p w:rsidR="00E2137C" w:rsidRPr="007653A5" w:rsidRDefault="00E2137C">
      <w:pPr>
        <w:autoSpaceDE w:val="0"/>
        <w:autoSpaceDN w:val="0"/>
        <w:spacing w:before="100" w:beforeAutospacing="1" w:after="100" w:afterAutospacing="1" w:line="580" w:lineRule="atLeast"/>
        <w:ind w:firstLine="600"/>
        <w:rPr>
          <w:rFonts w:ascii="仿宋" w:eastAsia="仿宋" w:hAnsi="仿宋"/>
        </w:rPr>
      </w:pPr>
      <w:r w:rsidRPr="007653A5">
        <w:rPr>
          <w:rFonts w:ascii="仿宋" w:eastAsia="仿宋" w:hAnsi="仿宋" w:cs="Times New Roman"/>
          <w:sz w:val="32"/>
          <w:szCs w:val="32"/>
        </w:rPr>
        <w:lastRenderedPageBreak/>
        <w:t>6</w:t>
      </w:r>
      <w:r w:rsidRPr="007653A5">
        <w:rPr>
          <w:rFonts w:ascii="仿宋" w:eastAsia="仿宋" w:hAnsi="仿宋" w:cs="Times New Roman" w:hint="eastAsia"/>
          <w:sz w:val="32"/>
          <w:szCs w:val="32"/>
        </w:rPr>
        <w:t>、完成自治区文化和旅游厅交办的其他任务。</w:t>
      </w:r>
    </w:p>
    <w:p w:rsidR="00E2137C" w:rsidRPr="00DF2BC6" w:rsidRDefault="00E2137C">
      <w:pPr>
        <w:autoSpaceDE w:val="0"/>
        <w:autoSpaceDN w:val="0"/>
        <w:spacing w:before="100" w:after="100" w:line="580" w:lineRule="atLeast"/>
        <w:ind w:firstLine="600"/>
        <w:rPr>
          <w:rFonts w:ascii="华文楷体" w:eastAsia="华文楷体" w:hAnsi="华文楷体"/>
          <w:b/>
          <w:sz w:val="32"/>
          <w:szCs w:val="32"/>
        </w:rPr>
      </w:pPr>
      <w:r w:rsidRPr="00DF2BC6">
        <w:rPr>
          <w:rFonts w:ascii="华文楷体" w:eastAsia="华文楷体" w:hAnsi="华文楷体" w:hint="eastAsia"/>
          <w:b/>
          <w:sz w:val="32"/>
          <w:szCs w:val="32"/>
        </w:rPr>
        <w:t>二、单位机构设置</w:t>
      </w:r>
      <w:r w:rsidR="00E46F61">
        <w:rPr>
          <w:rFonts w:ascii="华文楷体" w:eastAsia="华文楷体" w:hAnsi="华文楷体" w:hint="eastAsia"/>
          <w:b/>
          <w:sz w:val="32"/>
          <w:szCs w:val="32"/>
        </w:rPr>
        <w:t>及决算单位构成情况</w:t>
      </w:r>
    </w:p>
    <w:p w:rsidR="00E2137C" w:rsidRPr="007653A5" w:rsidRDefault="00E46F61">
      <w:pPr>
        <w:autoSpaceDE w:val="0"/>
        <w:autoSpaceDN w:val="0"/>
        <w:spacing w:before="100" w:beforeAutospacing="1" w:after="100" w:afterAutospacing="1" w:line="580" w:lineRule="atLeast"/>
        <w:ind w:firstLine="600"/>
        <w:rPr>
          <w:rFonts w:ascii="仿宋" w:eastAsia="仿宋" w:hAnsi="仿宋"/>
          <w:sz w:val="32"/>
          <w:szCs w:val="32"/>
        </w:rPr>
      </w:pPr>
      <w:r>
        <w:rPr>
          <w:rFonts w:ascii="仿宋" w:eastAsia="仿宋" w:hAnsi="仿宋" w:hint="eastAsia"/>
          <w:sz w:val="32"/>
          <w:szCs w:val="32"/>
        </w:rPr>
        <w:t>根据单位职责分工</w:t>
      </w:r>
      <w:r w:rsidR="00E2137C" w:rsidRPr="007653A5">
        <w:rPr>
          <w:rFonts w:ascii="仿宋" w:eastAsia="仿宋" w:hAnsi="仿宋" w:hint="eastAsia"/>
          <w:sz w:val="32"/>
          <w:szCs w:val="32"/>
        </w:rPr>
        <w:t>。</w:t>
      </w:r>
      <w:r>
        <w:rPr>
          <w:rFonts w:ascii="仿宋" w:eastAsia="仿宋" w:hAnsi="仿宋" w:hint="eastAsia"/>
          <w:sz w:val="32"/>
          <w:szCs w:val="32"/>
        </w:rPr>
        <w:t>本单位</w:t>
      </w:r>
      <w:r w:rsidR="00E2137C" w:rsidRPr="007653A5">
        <w:rPr>
          <w:rFonts w:ascii="仿宋" w:eastAsia="仿宋" w:hAnsi="仿宋" w:hint="eastAsia"/>
          <w:sz w:val="32"/>
          <w:szCs w:val="32"/>
        </w:rPr>
        <w:t>内设20</w:t>
      </w:r>
      <w:r>
        <w:rPr>
          <w:rFonts w:ascii="仿宋" w:eastAsia="仿宋" w:hAnsi="仿宋" w:hint="eastAsia"/>
          <w:sz w:val="32"/>
          <w:szCs w:val="32"/>
        </w:rPr>
        <w:t>个机构</w:t>
      </w:r>
      <w:r w:rsidR="00E2137C" w:rsidRPr="007653A5">
        <w:rPr>
          <w:rFonts w:ascii="仿宋" w:eastAsia="仿宋" w:hAnsi="仿宋" w:hint="eastAsia"/>
          <w:sz w:val="32"/>
          <w:szCs w:val="32"/>
        </w:rPr>
        <w:t>包括：办公室、党委办公室、纪检室、人事处、计划财务处、研究室、创作研究中心、演出管理中心、宣传交流处、产业管理处、歌舞团、蒙古族艺术团、民族曲艺团、二人台艺术团、杂技团、京剧团、民族乐团、合唱团、交响乐团、话剧团。</w:t>
      </w:r>
      <w:r>
        <w:rPr>
          <w:rFonts w:ascii="仿宋" w:eastAsia="仿宋" w:hAnsi="仿宋" w:hint="eastAsia"/>
          <w:sz w:val="32"/>
          <w:szCs w:val="32"/>
        </w:rPr>
        <w:t>本单位无下属单位。</w:t>
      </w:r>
    </w:p>
    <w:p w:rsidR="00E2137C" w:rsidRDefault="00E2137C">
      <w:pPr>
        <w:autoSpaceDE w:val="0"/>
        <w:autoSpaceDN w:val="0"/>
        <w:spacing w:before="100" w:beforeAutospacing="1" w:after="100" w:afterAutospacing="1" w:line="580" w:lineRule="atLeast"/>
        <w:ind w:firstLine="600"/>
        <w:rPr>
          <w:rFonts w:ascii="仿宋" w:eastAsia="仿宋" w:hAnsi="仿宋"/>
          <w:sz w:val="32"/>
          <w:szCs w:val="32"/>
        </w:rPr>
      </w:pPr>
      <w:r w:rsidRPr="007653A5">
        <w:rPr>
          <w:rFonts w:ascii="仿宋" w:eastAsia="仿宋" w:hAnsi="仿宋" w:hint="eastAsia"/>
          <w:sz w:val="32"/>
          <w:szCs w:val="32"/>
        </w:rPr>
        <w:t>内蒙古艺术剧院2021年末单位编制人数为860人，在职实有人数为748人，离休人员13人，退休人员552人，享受遗属补贴人员27人。2021年人员变动情况如下：在职减少50人，增加76人。其中退休36人，辞职7人，解聘3人，调出2人，在职人员亡故2人，新进人员76人。</w:t>
      </w:r>
    </w:p>
    <w:p w:rsidR="007A18E6" w:rsidRDefault="007A18E6" w:rsidP="007A18E6">
      <w:pPr>
        <w:ind w:firstLineChars="200" w:firstLine="640"/>
        <w:rPr>
          <w:rFonts w:ascii="仿宋" w:eastAsia="仿宋" w:hAnsi="仿宋"/>
          <w:sz w:val="32"/>
          <w:szCs w:val="32"/>
        </w:rPr>
      </w:pPr>
      <w:r w:rsidRPr="007A18E6">
        <w:rPr>
          <w:rFonts w:ascii="仿宋" w:eastAsia="仿宋" w:hAnsi="仿宋" w:hint="eastAsia"/>
          <w:sz w:val="32"/>
          <w:szCs w:val="32"/>
        </w:rPr>
        <w:t>从决算单位构成看，纳入本部门202</w:t>
      </w:r>
      <w:r>
        <w:rPr>
          <w:rFonts w:ascii="仿宋" w:eastAsia="仿宋" w:hAnsi="仿宋" w:hint="eastAsia"/>
          <w:sz w:val="32"/>
          <w:szCs w:val="32"/>
        </w:rPr>
        <w:t>1</w:t>
      </w:r>
      <w:r w:rsidRPr="007A18E6">
        <w:rPr>
          <w:rFonts w:ascii="仿宋" w:eastAsia="仿宋" w:hAnsi="仿宋" w:hint="eastAsia"/>
          <w:sz w:val="32"/>
          <w:szCs w:val="32"/>
        </w:rPr>
        <w:t>年度部门汇总决算编制范围的预算单位共计1家，详细情况见下表：</w:t>
      </w:r>
    </w:p>
    <w:p w:rsidR="007A18E6" w:rsidRDefault="007A18E6" w:rsidP="007A18E6">
      <w:pPr>
        <w:ind w:firstLineChars="200" w:firstLine="640"/>
        <w:rPr>
          <w:rFonts w:ascii="仿宋" w:eastAsia="仿宋" w:hAnsi="仿宋"/>
          <w:sz w:val="32"/>
          <w:szCs w:val="32"/>
        </w:rPr>
      </w:pPr>
    </w:p>
    <w:tbl>
      <w:tblPr>
        <w:tblStyle w:val="a8"/>
        <w:tblW w:w="0" w:type="auto"/>
        <w:tblLook w:val="04A0"/>
      </w:tblPr>
      <w:tblGrid>
        <w:gridCol w:w="4265"/>
        <w:gridCol w:w="4266"/>
      </w:tblGrid>
      <w:tr w:rsidR="007A18E6" w:rsidRPr="007A18E6" w:rsidTr="007A18E6">
        <w:tc>
          <w:tcPr>
            <w:tcW w:w="4265" w:type="dxa"/>
            <w:tcBorders>
              <w:top w:val="single" w:sz="4" w:space="0" w:color="auto"/>
              <w:left w:val="single" w:sz="4" w:space="0" w:color="auto"/>
              <w:bottom w:val="single" w:sz="4" w:space="0" w:color="auto"/>
              <w:right w:val="single" w:sz="4" w:space="0" w:color="auto"/>
            </w:tcBorders>
            <w:hideMark/>
          </w:tcPr>
          <w:p w:rsidR="007A18E6" w:rsidRPr="007A18E6" w:rsidRDefault="007A18E6" w:rsidP="007A18E6">
            <w:pPr>
              <w:rPr>
                <w:rFonts w:ascii="仿宋" w:eastAsia="仿宋" w:hAnsi="仿宋"/>
                <w:sz w:val="32"/>
                <w:szCs w:val="32"/>
              </w:rPr>
            </w:pPr>
            <w:r w:rsidRPr="007A18E6">
              <w:rPr>
                <w:rFonts w:ascii="仿宋" w:eastAsia="仿宋" w:hAnsi="仿宋" w:hint="eastAsia"/>
                <w:sz w:val="32"/>
                <w:szCs w:val="32"/>
              </w:rPr>
              <w:t>序号</w:t>
            </w:r>
          </w:p>
        </w:tc>
        <w:tc>
          <w:tcPr>
            <w:tcW w:w="4266" w:type="dxa"/>
            <w:tcBorders>
              <w:top w:val="single" w:sz="4" w:space="0" w:color="auto"/>
              <w:left w:val="single" w:sz="4" w:space="0" w:color="auto"/>
              <w:bottom w:val="single" w:sz="4" w:space="0" w:color="auto"/>
              <w:right w:val="single" w:sz="4" w:space="0" w:color="auto"/>
            </w:tcBorders>
            <w:hideMark/>
          </w:tcPr>
          <w:p w:rsidR="007A18E6" w:rsidRPr="007A18E6" w:rsidRDefault="007A18E6" w:rsidP="007A18E6">
            <w:pPr>
              <w:rPr>
                <w:rFonts w:ascii="仿宋" w:eastAsia="仿宋" w:hAnsi="仿宋"/>
                <w:sz w:val="32"/>
                <w:szCs w:val="32"/>
              </w:rPr>
            </w:pPr>
            <w:r w:rsidRPr="007A18E6">
              <w:rPr>
                <w:rFonts w:ascii="仿宋" w:eastAsia="仿宋" w:hAnsi="仿宋" w:hint="eastAsia"/>
                <w:sz w:val="32"/>
                <w:szCs w:val="32"/>
              </w:rPr>
              <w:t>单位名称</w:t>
            </w:r>
          </w:p>
        </w:tc>
      </w:tr>
      <w:tr w:rsidR="007A18E6" w:rsidRPr="007A18E6" w:rsidTr="007A18E6">
        <w:tc>
          <w:tcPr>
            <w:tcW w:w="4265" w:type="dxa"/>
            <w:tcBorders>
              <w:top w:val="single" w:sz="4" w:space="0" w:color="auto"/>
              <w:left w:val="single" w:sz="4" w:space="0" w:color="auto"/>
              <w:bottom w:val="single" w:sz="4" w:space="0" w:color="auto"/>
              <w:right w:val="single" w:sz="4" w:space="0" w:color="auto"/>
            </w:tcBorders>
            <w:hideMark/>
          </w:tcPr>
          <w:p w:rsidR="007A18E6" w:rsidRPr="007A18E6" w:rsidRDefault="007A18E6" w:rsidP="007A18E6">
            <w:pPr>
              <w:rPr>
                <w:rFonts w:ascii="仿宋" w:eastAsia="仿宋" w:hAnsi="仿宋"/>
                <w:sz w:val="32"/>
                <w:szCs w:val="32"/>
              </w:rPr>
            </w:pPr>
            <w:r w:rsidRPr="007A18E6">
              <w:rPr>
                <w:rFonts w:ascii="仿宋" w:eastAsia="仿宋" w:hAnsi="仿宋" w:hint="eastAsia"/>
                <w:sz w:val="32"/>
                <w:szCs w:val="32"/>
              </w:rPr>
              <w:t>1</w:t>
            </w:r>
          </w:p>
        </w:tc>
        <w:tc>
          <w:tcPr>
            <w:tcW w:w="4266" w:type="dxa"/>
            <w:tcBorders>
              <w:top w:val="single" w:sz="4" w:space="0" w:color="auto"/>
              <w:left w:val="single" w:sz="4" w:space="0" w:color="auto"/>
              <w:bottom w:val="single" w:sz="4" w:space="0" w:color="auto"/>
              <w:right w:val="single" w:sz="4" w:space="0" w:color="auto"/>
            </w:tcBorders>
            <w:hideMark/>
          </w:tcPr>
          <w:p w:rsidR="007A18E6" w:rsidRPr="007A18E6" w:rsidRDefault="007A18E6" w:rsidP="007A18E6">
            <w:pPr>
              <w:rPr>
                <w:rFonts w:ascii="仿宋" w:eastAsia="仿宋" w:hAnsi="仿宋"/>
                <w:sz w:val="32"/>
                <w:szCs w:val="32"/>
              </w:rPr>
            </w:pPr>
            <w:r w:rsidRPr="007A18E6">
              <w:rPr>
                <w:rFonts w:ascii="仿宋" w:eastAsia="仿宋" w:hAnsi="仿宋" w:hint="eastAsia"/>
                <w:sz w:val="32"/>
                <w:szCs w:val="32"/>
              </w:rPr>
              <w:t>内蒙古艺术剧院</w:t>
            </w:r>
          </w:p>
        </w:tc>
      </w:tr>
    </w:tbl>
    <w:p w:rsidR="007A18E6" w:rsidRDefault="007A18E6">
      <w:pPr>
        <w:autoSpaceDE w:val="0"/>
        <w:autoSpaceDN w:val="0"/>
        <w:spacing w:before="100" w:beforeAutospacing="1" w:after="100" w:afterAutospacing="1" w:line="580" w:lineRule="atLeast"/>
        <w:ind w:firstLine="600"/>
        <w:rPr>
          <w:rFonts w:ascii="仿宋" w:eastAsia="仿宋" w:hAnsi="仿宋"/>
        </w:rPr>
      </w:pPr>
    </w:p>
    <w:p w:rsidR="007A18E6" w:rsidRPr="007A18E6" w:rsidRDefault="007A18E6">
      <w:pPr>
        <w:autoSpaceDE w:val="0"/>
        <w:autoSpaceDN w:val="0"/>
        <w:spacing w:before="100" w:beforeAutospacing="1" w:after="100" w:afterAutospacing="1" w:line="580" w:lineRule="atLeast"/>
        <w:ind w:firstLine="600"/>
        <w:rPr>
          <w:rFonts w:ascii="仿宋" w:eastAsia="仿宋" w:hAnsi="仿宋"/>
        </w:rPr>
      </w:pPr>
    </w:p>
    <w:p w:rsidR="00E2137C" w:rsidRDefault="00E2137C" w:rsidP="00C743A4">
      <w:pPr>
        <w:autoSpaceDE w:val="0"/>
        <w:autoSpaceDN w:val="0"/>
        <w:spacing w:before="100" w:after="100" w:line="580" w:lineRule="atLeast"/>
        <w:ind w:firstLine="600"/>
      </w:pPr>
      <w:r>
        <w:rPr>
          <w:rFonts w:ascii="仿宋_GB2312" w:hAnsi="仿宋_GB2312" w:hint="eastAsia"/>
          <w:b/>
          <w:bCs/>
          <w:sz w:val="32"/>
          <w:szCs w:val="32"/>
        </w:rPr>
        <w:lastRenderedPageBreak/>
        <w:t>第二部分</w:t>
      </w:r>
      <w:r>
        <w:rPr>
          <w:rFonts w:ascii="仿宋_GB2312" w:hint="eastAsia"/>
          <w:b/>
          <w:bCs/>
          <w:sz w:val="32"/>
          <w:szCs w:val="32"/>
        </w:rPr>
        <w:t xml:space="preserve"> 2021</w:t>
      </w:r>
      <w:r>
        <w:rPr>
          <w:rFonts w:ascii="仿宋_GB2312" w:hAnsi="仿宋_GB2312" w:hint="eastAsia"/>
          <w:b/>
          <w:bCs/>
          <w:sz w:val="32"/>
          <w:szCs w:val="32"/>
        </w:rPr>
        <w:t>年度部门决算情况说明</w:t>
      </w:r>
    </w:p>
    <w:p w:rsidR="00E2137C" w:rsidRPr="00DF2BC6" w:rsidRDefault="00E2137C">
      <w:pPr>
        <w:autoSpaceDE w:val="0"/>
        <w:autoSpaceDN w:val="0"/>
        <w:spacing w:before="100" w:after="100" w:line="580" w:lineRule="atLeast"/>
        <w:ind w:firstLine="600"/>
        <w:rPr>
          <w:rFonts w:ascii="黑体" w:eastAsia="黑体" w:hAnsi="黑体"/>
          <w:sz w:val="32"/>
          <w:szCs w:val="32"/>
        </w:rPr>
      </w:pPr>
      <w:r w:rsidRPr="00DF2BC6">
        <w:rPr>
          <w:rFonts w:ascii="黑体" w:eastAsia="黑体" w:hAnsi="黑体" w:hint="eastAsia"/>
          <w:sz w:val="32"/>
          <w:szCs w:val="32"/>
        </w:rPr>
        <w:t>一、关于2021年度预算执行情况分析</w:t>
      </w:r>
    </w:p>
    <w:p w:rsidR="00E2137C" w:rsidRPr="007653A5" w:rsidRDefault="00E2137C">
      <w:pPr>
        <w:autoSpaceDE w:val="0"/>
        <w:autoSpaceDN w:val="0"/>
        <w:spacing w:before="100" w:after="100" w:line="580" w:lineRule="atLeast"/>
        <w:ind w:firstLine="600"/>
        <w:rPr>
          <w:rFonts w:ascii="仿宋" w:eastAsia="仿宋" w:hAnsi="仿宋"/>
          <w:sz w:val="32"/>
          <w:szCs w:val="32"/>
        </w:rPr>
      </w:pPr>
      <w:r w:rsidRPr="007653A5">
        <w:rPr>
          <w:rFonts w:ascii="仿宋" w:eastAsia="仿宋" w:hAnsi="仿宋" w:hint="eastAsia"/>
          <w:sz w:val="32"/>
          <w:szCs w:val="32"/>
        </w:rPr>
        <w:t>2021年度收入、支出决算总计25,842.72万元。与年初预算相比，收、支总计增加1,154.93万元，增长4.68%，变动原因：</w:t>
      </w:r>
      <w:r w:rsidR="00C743A4" w:rsidRPr="007653A5">
        <w:rPr>
          <w:rFonts w:ascii="仿宋" w:eastAsia="仿宋" w:hAnsi="仿宋" w:hint="eastAsia"/>
          <w:sz w:val="32"/>
          <w:szCs w:val="32"/>
        </w:rPr>
        <w:t>年中追加</w:t>
      </w:r>
      <w:r w:rsidR="00C743A4">
        <w:rPr>
          <w:rFonts w:ascii="仿宋" w:eastAsia="仿宋" w:hAnsi="仿宋" w:hint="eastAsia"/>
          <w:sz w:val="32"/>
          <w:szCs w:val="32"/>
        </w:rPr>
        <w:t>《骑兵》参评第六届全国少数民族文艺会演项目经费、舞剧《骑兵》演出设备经费、舞剧《骑兵》项目经费、</w:t>
      </w:r>
      <w:r w:rsidR="00C743A4" w:rsidRPr="007653A5">
        <w:rPr>
          <w:rFonts w:ascii="仿宋" w:eastAsia="仿宋" w:hAnsi="仿宋" w:hint="eastAsia"/>
          <w:sz w:val="32"/>
          <w:szCs w:val="32"/>
        </w:rPr>
        <w:t>交响乐《旗帜》项目经费、</w:t>
      </w:r>
      <w:r w:rsidR="00C743A4">
        <w:rPr>
          <w:rFonts w:ascii="仿宋" w:eastAsia="仿宋" w:hAnsi="仿宋" w:hint="eastAsia"/>
          <w:sz w:val="32"/>
          <w:szCs w:val="32"/>
        </w:rPr>
        <w:t>京剧团人才培养、杂技团设施更新、</w:t>
      </w:r>
      <w:r w:rsidR="00C743A4" w:rsidRPr="007653A5">
        <w:rPr>
          <w:rFonts w:ascii="仿宋" w:eastAsia="仿宋" w:hAnsi="仿宋" w:hint="eastAsia"/>
          <w:sz w:val="32"/>
          <w:szCs w:val="32"/>
        </w:rPr>
        <w:t>丧葬费抚恤金</w:t>
      </w:r>
      <w:r w:rsidR="00C32F81">
        <w:rPr>
          <w:rFonts w:ascii="仿宋" w:eastAsia="仿宋" w:hAnsi="仿宋" w:hint="eastAsia"/>
          <w:sz w:val="32"/>
          <w:szCs w:val="32"/>
        </w:rPr>
        <w:t>事业</w:t>
      </w:r>
      <w:r w:rsidR="00C743A4">
        <w:rPr>
          <w:rFonts w:ascii="仿宋" w:eastAsia="仿宋" w:hAnsi="仿宋" w:hint="eastAsia"/>
          <w:sz w:val="32"/>
          <w:szCs w:val="32"/>
        </w:rPr>
        <w:t>、</w:t>
      </w:r>
      <w:r w:rsidR="00C32F81">
        <w:rPr>
          <w:rFonts w:ascii="仿宋" w:eastAsia="仿宋" w:hAnsi="仿宋" w:hint="eastAsia"/>
          <w:sz w:val="32"/>
          <w:szCs w:val="32"/>
        </w:rPr>
        <w:t>收入增多</w:t>
      </w:r>
      <w:r w:rsidRPr="007653A5">
        <w:rPr>
          <w:rFonts w:ascii="仿宋" w:eastAsia="仿宋" w:hAnsi="仿宋" w:hint="eastAsia"/>
          <w:sz w:val="32"/>
          <w:szCs w:val="32"/>
        </w:rPr>
        <w:t>等 。</w:t>
      </w:r>
    </w:p>
    <w:p w:rsidR="00C32F81" w:rsidRPr="007653A5" w:rsidRDefault="00E2137C" w:rsidP="00C32F81">
      <w:pPr>
        <w:autoSpaceDE w:val="0"/>
        <w:autoSpaceDN w:val="0"/>
        <w:spacing w:before="100" w:after="100" w:line="580" w:lineRule="atLeast"/>
        <w:ind w:firstLine="600"/>
        <w:rPr>
          <w:rFonts w:ascii="仿宋" w:eastAsia="仿宋" w:hAnsi="仿宋"/>
          <w:sz w:val="32"/>
          <w:szCs w:val="32"/>
        </w:rPr>
      </w:pPr>
      <w:r w:rsidRPr="007653A5">
        <w:rPr>
          <w:rFonts w:ascii="仿宋" w:eastAsia="仿宋" w:hAnsi="仿宋" w:hint="eastAsia"/>
          <w:sz w:val="32"/>
          <w:szCs w:val="32"/>
        </w:rPr>
        <w:t>2021年度财政拨款收入、支出决算总计23,257.77万元。与年初预算相比，收、支总计增加769.98万元，增长3.42%，变动原因：</w:t>
      </w:r>
      <w:r w:rsidR="00C743A4" w:rsidRPr="007653A5">
        <w:rPr>
          <w:rFonts w:ascii="仿宋" w:eastAsia="仿宋" w:hAnsi="仿宋" w:hint="eastAsia"/>
          <w:sz w:val="32"/>
          <w:szCs w:val="32"/>
        </w:rPr>
        <w:t>年中追加</w:t>
      </w:r>
      <w:r w:rsidR="00C743A4">
        <w:rPr>
          <w:rFonts w:ascii="仿宋" w:eastAsia="仿宋" w:hAnsi="仿宋" w:hint="eastAsia"/>
          <w:sz w:val="32"/>
          <w:szCs w:val="32"/>
        </w:rPr>
        <w:t>《骑兵》参评第六届全国少数民族文艺会演项目经费、舞剧《骑兵》演出设备经费、舞剧《骑兵》项目经费、</w:t>
      </w:r>
      <w:r w:rsidR="00C743A4" w:rsidRPr="007653A5">
        <w:rPr>
          <w:rFonts w:ascii="仿宋" w:eastAsia="仿宋" w:hAnsi="仿宋" w:hint="eastAsia"/>
          <w:sz w:val="32"/>
          <w:szCs w:val="32"/>
        </w:rPr>
        <w:t>交响乐《旗帜》项目经费、</w:t>
      </w:r>
      <w:r w:rsidR="00C743A4">
        <w:rPr>
          <w:rFonts w:ascii="仿宋" w:eastAsia="仿宋" w:hAnsi="仿宋" w:hint="eastAsia"/>
          <w:sz w:val="32"/>
          <w:szCs w:val="32"/>
        </w:rPr>
        <w:t>京剧团人才培养、杂技团设施更新、</w:t>
      </w:r>
      <w:r w:rsidR="00C743A4" w:rsidRPr="007653A5">
        <w:rPr>
          <w:rFonts w:ascii="仿宋" w:eastAsia="仿宋" w:hAnsi="仿宋" w:hint="eastAsia"/>
          <w:sz w:val="32"/>
          <w:szCs w:val="32"/>
        </w:rPr>
        <w:t>丧葬费抚恤金</w:t>
      </w:r>
      <w:r w:rsidR="00C32F81" w:rsidRPr="007653A5">
        <w:rPr>
          <w:rFonts w:ascii="仿宋" w:eastAsia="仿宋" w:hAnsi="仿宋" w:hint="eastAsia"/>
          <w:sz w:val="32"/>
          <w:szCs w:val="32"/>
        </w:rPr>
        <w:t>等 。</w:t>
      </w:r>
    </w:p>
    <w:p w:rsidR="00E2137C" w:rsidRPr="00DF2BC6" w:rsidRDefault="00E2137C">
      <w:pPr>
        <w:autoSpaceDE w:val="0"/>
        <w:autoSpaceDN w:val="0"/>
        <w:spacing w:before="100" w:after="100" w:line="580" w:lineRule="atLeast"/>
        <w:ind w:firstLine="600"/>
        <w:rPr>
          <w:rFonts w:ascii="黑体" w:eastAsia="黑体" w:hAnsi="黑体"/>
          <w:sz w:val="32"/>
          <w:szCs w:val="32"/>
        </w:rPr>
      </w:pPr>
      <w:r w:rsidRPr="00DF2BC6">
        <w:rPr>
          <w:rFonts w:ascii="黑体" w:eastAsia="黑体" w:hAnsi="黑体" w:hint="eastAsia"/>
          <w:sz w:val="32"/>
          <w:szCs w:val="32"/>
        </w:rPr>
        <w:t>二、关于2021年度决算情况说明</w:t>
      </w:r>
    </w:p>
    <w:p w:rsidR="00E2137C" w:rsidRPr="00DF2BC6" w:rsidRDefault="00E2137C">
      <w:pPr>
        <w:autoSpaceDE w:val="0"/>
        <w:autoSpaceDN w:val="0"/>
        <w:spacing w:before="100" w:after="100" w:line="580" w:lineRule="atLeast"/>
        <w:ind w:firstLine="600"/>
        <w:rPr>
          <w:rFonts w:ascii="华文楷体" w:eastAsia="华文楷体" w:hAnsi="华文楷体"/>
          <w:b/>
          <w:sz w:val="32"/>
          <w:szCs w:val="32"/>
        </w:rPr>
      </w:pPr>
      <w:r w:rsidRPr="00DF2BC6">
        <w:rPr>
          <w:rFonts w:ascii="华文楷体" w:eastAsia="华文楷体" w:hAnsi="华文楷体" w:hint="eastAsia"/>
          <w:b/>
          <w:sz w:val="32"/>
          <w:szCs w:val="32"/>
        </w:rPr>
        <w:t>（一）关于收支情况总体说明</w:t>
      </w:r>
    </w:p>
    <w:p w:rsidR="00E2137C" w:rsidRPr="007653A5" w:rsidRDefault="003E31E4">
      <w:pPr>
        <w:autoSpaceDE w:val="0"/>
        <w:autoSpaceDN w:val="0"/>
        <w:spacing w:before="100" w:after="100" w:line="580" w:lineRule="atLeast"/>
        <w:ind w:firstLine="600"/>
        <w:rPr>
          <w:rFonts w:ascii="仿宋" w:eastAsia="仿宋" w:hAnsi="仿宋"/>
          <w:sz w:val="32"/>
          <w:szCs w:val="32"/>
        </w:rPr>
      </w:pPr>
      <w:r>
        <w:rPr>
          <w:rFonts w:ascii="仿宋" w:eastAsia="仿宋" w:hAnsi="仿宋" w:hint="eastAsia"/>
          <w:sz w:val="32"/>
          <w:szCs w:val="32"/>
        </w:rPr>
        <w:t>本单位</w:t>
      </w:r>
      <w:r w:rsidR="00E2137C" w:rsidRPr="007653A5">
        <w:rPr>
          <w:rFonts w:ascii="仿宋" w:eastAsia="仿宋" w:hAnsi="仿宋" w:hint="eastAsia"/>
          <w:sz w:val="32"/>
          <w:szCs w:val="32"/>
        </w:rPr>
        <w:t>2021年度收入总计25,842.72万元，其中：本年收入合计23,318.23万元，使用非财政拨款结余0.00万元，年初结转和结余2,524.49万元；支出总计25,842.72万元，其中：结余分配0.00万元，年末结转和结余2,990.79万元。与2020年度相比，收入支出总计增加2,512.17万元，增长</w:t>
      </w:r>
      <w:r w:rsidR="00E2137C" w:rsidRPr="007653A5">
        <w:rPr>
          <w:rFonts w:ascii="仿宋" w:eastAsia="仿宋" w:hAnsi="仿宋" w:hint="eastAsia"/>
          <w:sz w:val="32"/>
          <w:szCs w:val="32"/>
        </w:rPr>
        <w:lastRenderedPageBreak/>
        <w:t>10.77%，主要原因：年中追加</w:t>
      </w:r>
      <w:r w:rsidR="0020425D">
        <w:rPr>
          <w:rFonts w:ascii="仿宋" w:eastAsia="仿宋" w:hAnsi="仿宋" w:hint="eastAsia"/>
          <w:sz w:val="32"/>
          <w:szCs w:val="32"/>
        </w:rPr>
        <w:t>《骑兵》参评第六届全国少数民族文艺会演项目经费、舞剧《骑兵》演出设备经费、</w:t>
      </w:r>
      <w:r w:rsidR="00C743A4">
        <w:rPr>
          <w:rFonts w:ascii="仿宋" w:eastAsia="仿宋" w:hAnsi="仿宋" w:hint="eastAsia"/>
          <w:sz w:val="32"/>
          <w:szCs w:val="32"/>
        </w:rPr>
        <w:t>舞剧《骑兵》项目经费、</w:t>
      </w:r>
      <w:r w:rsidR="00E2137C" w:rsidRPr="007653A5">
        <w:rPr>
          <w:rFonts w:ascii="仿宋" w:eastAsia="仿宋" w:hAnsi="仿宋" w:hint="eastAsia"/>
          <w:sz w:val="32"/>
          <w:szCs w:val="32"/>
        </w:rPr>
        <w:t>交响乐《旗帜》项目经费、</w:t>
      </w:r>
      <w:r w:rsidR="00C743A4">
        <w:rPr>
          <w:rFonts w:ascii="仿宋" w:eastAsia="仿宋" w:hAnsi="仿宋" w:hint="eastAsia"/>
          <w:sz w:val="32"/>
          <w:szCs w:val="32"/>
        </w:rPr>
        <w:t>京剧团人才培养、杂技团设施更新、</w:t>
      </w:r>
      <w:r w:rsidR="00E2137C" w:rsidRPr="007653A5">
        <w:rPr>
          <w:rFonts w:ascii="仿宋" w:eastAsia="仿宋" w:hAnsi="仿宋" w:hint="eastAsia"/>
          <w:sz w:val="32"/>
          <w:szCs w:val="32"/>
        </w:rPr>
        <w:t>丧葬费抚恤金</w:t>
      </w:r>
      <w:r w:rsidR="00C32F81">
        <w:rPr>
          <w:rFonts w:ascii="仿宋" w:eastAsia="仿宋" w:hAnsi="仿宋" w:hint="eastAsia"/>
          <w:sz w:val="32"/>
          <w:szCs w:val="32"/>
        </w:rPr>
        <w:t>、事业收入增多</w:t>
      </w:r>
      <w:r w:rsidR="00E2137C" w:rsidRPr="007653A5">
        <w:rPr>
          <w:rFonts w:ascii="仿宋" w:eastAsia="仿宋" w:hAnsi="仿宋" w:hint="eastAsia"/>
          <w:sz w:val="32"/>
          <w:szCs w:val="32"/>
        </w:rPr>
        <w:t>。</w:t>
      </w:r>
    </w:p>
    <w:p w:rsidR="00E2137C" w:rsidRPr="00DF2BC6" w:rsidRDefault="00E2137C">
      <w:pPr>
        <w:autoSpaceDE w:val="0"/>
        <w:autoSpaceDN w:val="0"/>
        <w:spacing w:before="100" w:after="100" w:line="580" w:lineRule="atLeast"/>
        <w:ind w:firstLine="600"/>
        <w:rPr>
          <w:rFonts w:ascii="华文楷体" w:eastAsia="华文楷体" w:hAnsi="华文楷体"/>
          <w:b/>
          <w:sz w:val="32"/>
          <w:szCs w:val="32"/>
        </w:rPr>
      </w:pPr>
      <w:r w:rsidRPr="00DF2BC6">
        <w:rPr>
          <w:rFonts w:ascii="华文楷体" w:eastAsia="华文楷体" w:hAnsi="华文楷体" w:hint="eastAsia"/>
          <w:b/>
          <w:sz w:val="32"/>
          <w:szCs w:val="32"/>
        </w:rPr>
        <w:t>（二）关于2021年度收入决算情况说明</w:t>
      </w:r>
    </w:p>
    <w:p w:rsidR="00E2137C" w:rsidRPr="007653A5" w:rsidRDefault="00970817">
      <w:pPr>
        <w:autoSpaceDE w:val="0"/>
        <w:autoSpaceDN w:val="0"/>
        <w:spacing w:before="100" w:after="100" w:line="580" w:lineRule="atLeast"/>
        <w:ind w:firstLine="600"/>
        <w:rPr>
          <w:rFonts w:ascii="仿宋" w:eastAsia="仿宋" w:hAnsi="仿宋"/>
          <w:sz w:val="32"/>
          <w:szCs w:val="32"/>
        </w:rPr>
      </w:pPr>
      <w:r>
        <w:rPr>
          <w:rFonts w:hint="eastAsia"/>
          <w:noProof/>
        </w:rPr>
        <w:drawing>
          <wp:anchor distT="0" distB="0" distL="114300" distR="114300" simplePos="0" relativeHeight="251658240" behindDoc="0" locked="0" layoutInCell="1" allowOverlap="1">
            <wp:simplePos x="0" y="0"/>
            <wp:positionH relativeFrom="column">
              <wp:posOffset>637540</wp:posOffset>
            </wp:positionH>
            <wp:positionV relativeFrom="paragraph">
              <wp:posOffset>1351280</wp:posOffset>
            </wp:positionV>
            <wp:extent cx="3848100" cy="2252345"/>
            <wp:effectExtent l="0" t="0" r="19050" b="14605"/>
            <wp:wrapTopAndBottom/>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3E31E4">
        <w:rPr>
          <w:rFonts w:ascii="仿宋" w:eastAsia="仿宋" w:hAnsi="仿宋" w:hint="eastAsia"/>
          <w:sz w:val="32"/>
          <w:szCs w:val="32"/>
        </w:rPr>
        <w:t>本单位</w:t>
      </w:r>
      <w:r w:rsidR="00E2137C" w:rsidRPr="007653A5">
        <w:rPr>
          <w:rFonts w:ascii="仿宋" w:eastAsia="仿宋" w:hAnsi="仿宋" w:hint="eastAsia"/>
          <w:sz w:val="32"/>
          <w:szCs w:val="32"/>
        </w:rPr>
        <w:t>2021年度收入合计23,318.23万元，其中：财政拨款收入22,431.33万元，占96.20%；事业收入690.97万元，占2.96%；其他收入195.92万元，占0.84%。</w:t>
      </w:r>
    </w:p>
    <w:p w:rsidR="00E2137C" w:rsidRDefault="00E2137C">
      <w:pPr>
        <w:autoSpaceDE w:val="0"/>
        <w:autoSpaceDN w:val="0"/>
        <w:spacing w:before="100" w:after="100" w:line="580" w:lineRule="atLeast"/>
        <w:ind w:firstLine="600"/>
        <w:rPr>
          <w:rFonts w:ascii="楷体" w:eastAsia="楷体" w:hAnsi="楷体"/>
          <w:b/>
          <w:bCs/>
          <w:sz w:val="32"/>
          <w:szCs w:val="32"/>
        </w:rPr>
      </w:pPr>
    </w:p>
    <w:p w:rsidR="00E2137C" w:rsidRPr="00DF2BC6" w:rsidRDefault="00E2137C">
      <w:pPr>
        <w:autoSpaceDE w:val="0"/>
        <w:autoSpaceDN w:val="0"/>
        <w:spacing w:before="100" w:after="100" w:line="580" w:lineRule="atLeast"/>
        <w:ind w:firstLine="600"/>
        <w:rPr>
          <w:rFonts w:ascii="华文楷体" w:eastAsia="华文楷体" w:hAnsi="华文楷体"/>
          <w:b/>
          <w:sz w:val="32"/>
          <w:szCs w:val="32"/>
        </w:rPr>
      </w:pPr>
      <w:r w:rsidRPr="00DF2BC6">
        <w:rPr>
          <w:rFonts w:ascii="华文楷体" w:eastAsia="华文楷体" w:hAnsi="华文楷体" w:hint="eastAsia"/>
          <w:b/>
          <w:sz w:val="32"/>
          <w:szCs w:val="32"/>
        </w:rPr>
        <w:t>（三）关于2021年度支出决算情况说明</w:t>
      </w:r>
    </w:p>
    <w:p w:rsidR="00E2137C" w:rsidRDefault="00970817">
      <w:pPr>
        <w:autoSpaceDE w:val="0"/>
        <w:autoSpaceDN w:val="0"/>
        <w:spacing w:before="100" w:after="100" w:line="580" w:lineRule="atLeast"/>
        <w:ind w:firstLine="600"/>
        <w:rPr>
          <w:rFonts w:ascii="仿宋" w:eastAsia="仿宋" w:hAnsi="仿宋"/>
          <w:sz w:val="32"/>
          <w:szCs w:val="32"/>
        </w:rPr>
      </w:pPr>
      <w:r>
        <w:rPr>
          <w:rFonts w:hint="eastAsia"/>
          <w:noProof/>
        </w:rPr>
        <w:lastRenderedPageBreak/>
        <w:drawing>
          <wp:anchor distT="0" distB="0" distL="114300" distR="114300" simplePos="0" relativeHeight="251659264" behindDoc="0" locked="0" layoutInCell="1" allowOverlap="1">
            <wp:simplePos x="0" y="0"/>
            <wp:positionH relativeFrom="column">
              <wp:posOffset>708660</wp:posOffset>
            </wp:positionH>
            <wp:positionV relativeFrom="paragraph">
              <wp:posOffset>1292860</wp:posOffset>
            </wp:positionV>
            <wp:extent cx="3705225" cy="2360295"/>
            <wp:effectExtent l="0" t="0" r="9525" b="20955"/>
            <wp:wrapTopAndBottom/>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E2137C">
        <w:rPr>
          <w:rFonts w:ascii="仿宋" w:eastAsia="仿宋" w:hAnsi="仿宋" w:hint="eastAsia"/>
          <w:sz w:val="32"/>
          <w:szCs w:val="32"/>
        </w:rPr>
        <w:t>本</w:t>
      </w:r>
      <w:r w:rsidR="00FA5A14">
        <w:rPr>
          <w:rFonts w:ascii="仿宋" w:eastAsia="仿宋" w:hAnsi="仿宋" w:hint="eastAsia"/>
          <w:sz w:val="32"/>
          <w:szCs w:val="32"/>
        </w:rPr>
        <w:t>单位</w:t>
      </w:r>
      <w:r w:rsidR="00E2137C">
        <w:rPr>
          <w:rFonts w:ascii="仿宋" w:eastAsia="仿宋" w:hAnsi="仿宋" w:hint="eastAsia"/>
          <w:sz w:val="32"/>
          <w:szCs w:val="32"/>
        </w:rPr>
        <w:t>2021年度支出合计22,851.93万元，其中：基本支出842.70万元，占3.69%；项目支出22,009.24万元，占96.31%。</w:t>
      </w:r>
    </w:p>
    <w:p w:rsidR="00E2137C" w:rsidRDefault="00E2137C">
      <w:pPr>
        <w:autoSpaceDE w:val="0"/>
        <w:autoSpaceDN w:val="0"/>
        <w:spacing w:before="100" w:beforeAutospacing="1" w:after="100" w:afterAutospacing="1" w:line="560" w:lineRule="atLeast"/>
        <w:ind w:firstLine="640"/>
      </w:pPr>
      <w:r>
        <w:rPr>
          <w:rFonts w:ascii="楷体" w:eastAsia="楷体" w:hAnsi="楷体" w:hint="eastAsia"/>
          <w:b/>
          <w:bCs/>
          <w:sz w:val="32"/>
          <w:szCs w:val="32"/>
        </w:rPr>
        <w:t>（四）关于2021年度财政拨款收入支出决算总体情况说明</w:t>
      </w:r>
    </w:p>
    <w:p w:rsidR="00E2137C" w:rsidRDefault="00FA5A14">
      <w:pPr>
        <w:autoSpaceDE w:val="0"/>
        <w:autoSpaceDN w:val="0"/>
        <w:spacing w:before="100" w:after="100" w:line="580" w:lineRule="atLeast"/>
        <w:ind w:firstLine="600"/>
        <w:rPr>
          <w:rFonts w:ascii="仿宋" w:eastAsia="仿宋" w:hAnsi="仿宋"/>
          <w:sz w:val="32"/>
          <w:szCs w:val="32"/>
        </w:rPr>
      </w:pPr>
      <w:r>
        <w:rPr>
          <w:rFonts w:ascii="仿宋" w:eastAsia="仿宋" w:hAnsi="仿宋" w:hint="eastAsia"/>
          <w:sz w:val="32"/>
          <w:szCs w:val="32"/>
        </w:rPr>
        <w:t>本单位</w:t>
      </w:r>
      <w:r w:rsidR="00E2137C">
        <w:rPr>
          <w:rFonts w:ascii="仿宋" w:eastAsia="仿宋" w:hAnsi="仿宋" w:hint="eastAsia"/>
          <w:sz w:val="32"/>
          <w:szCs w:val="32"/>
        </w:rPr>
        <w:t>2021年度财政拨款收入总计23,257.77万元，其中：年初结转和结余826.43万元；支出总计23,257.77万元，其中：年末结转和结余826.43万元。与2020年度相比，收入支出总计增加1,814.09万元，增长8.46%。主要原因：</w:t>
      </w:r>
      <w:r w:rsidR="00C743A4" w:rsidRPr="007653A5">
        <w:rPr>
          <w:rFonts w:ascii="仿宋" w:eastAsia="仿宋" w:hAnsi="仿宋" w:hint="eastAsia"/>
          <w:sz w:val="32"/>
          <w:szCs w:val="32"/>
        </w:rPr>
        <w:t>年中追加</w:t>
      </w:r>
      <w:r w:rsidR="00C743A4">
        <w:rPr>
          <w:rFonts w:ascii="仿宋" w:eastAsia="仿宋" w:hAnsi="仿宋" w:hint="eastAsia"/>
          <w:sz w:val="32"/>
          <w:szCs w:val="32"/>
        </w:rPr>
        <w:t>《骑兵》参评第六届全国少数民族文艺会演项目经费、舞剧《骑兵》演出设备经费、舞剧《骑兵》项目经费、</w:t>
      </w:r>
      <w:r w:rsidR="00C743A4" w:rsidRPr="007653A5">
        <w:rPr>
          <w:rFonts w:ascii="仿宋" w:eastAsia="仿宋" w:hAnsi="仿宋" w:hint="eastAsia"/>
          <w:sz w:val="32"/>
          <w:szCs w:val="32"/>
        </w:rPr>
        <w:t>交响乐《旗帜》项目经费、</w:t>
      </w:r>
      <w:r w:rsidR="00C743A4">
        <w:rPr>
          <w:rFonts w:ascii="仿宋" w:eastAsia="仿宋" w:hAnsi="仿宋" w:hint="eastAsia"/>
          <w:sz w:val="32"/>
          <w:szCs w:val="32"/>
        </w:rPr>
        <w:t>京剧团人才培养、杂技团设施更新、</w:t>
      </w:r>
      <w:r w:rsidR="00C743A4" w:rsidRPr="007653A5">
        <w:rPr>
          <w:rFonts w:ascii="仿宋" w:eastAsia="仿宋" w:hAnsi="仿宋" w:hint="eastAsia"/>
          <w:sz w:val="32"/>
          <w:szCs w:val="32"/>
        </w:rPr>
        <w:t>丧葬费抚恤金</w:t>
      </w:r>
      <w:r w:rsidR="00C32F81">
        <w:rPr>
          <w:rFonts w:ascii="仿宋" w:eastAsia="仿宋" w:hAnsi="仿宋" w:hint="eastAsia"/>
          <w:sz w:val="32"/>
          <w:szCs w:val="32"/>
        </w:rPr>
        <w:t>等</w:t>
      </w:r>
      <w:r w:rsidR="00E2137C">
        <w:rPr>
          <w:rFonts w:ascii="仿宋" w:eastAsia="仿宋" w:hAnsi="仿宋" w:hint="eastAsia"/>
          <w:sz w:val="32"/>
          <w:szCs w:val="32"/>
        </w:rPr>
        <w:t>。</w:t>
      </w:r>
    </w:p>
    <w:p w:rsidR="00E2137C" w:rsidRDefault="00E2137C">
      <w:pPr>
        <w:autoSpaceDE w:val="0"/>
        <w:autoSpaceDN w:val="0"/>
        <w:spacing w:before="100" w:after="100" w:line="580" w:lineRule="atLeast"/>
        <w:ind w:firstLine="600"/>
      </w:pPr>
      <w:r>
        <w:rPr>
          <w:rFonts w:ascii="楷体" w:eastAsia="楷体" w:hAnsi="楷体" w:hint="eastAsia"/>
          <w:b/>
          <w:bCs/>
          <w:sz w:val="32"/>
          <w:szCs w:val="32"/>
        </w:rPr>
        <w:t>（五）关于2021年度一般公共预算财政拨款支出决算情况说明</w:t>
      </w:r>
    </w:p>
    <w:p w:rsidR="00E2137C" w:rsidRDefault="00FA5A14">
      <w:pPr>
        <w:autoSpaceDE w:val="0"/>
        <w:autoSpaceDN w:val="0"/>
        <w:spacing w:before="100" w:after="100" w:line="580" w:lineRule="atLeast"/>
        <w:ind w:firstLine="600"/>
        <w:rPr>
          <w:rFonts w:ascii="仿宋" w:eastAsia="仿宋" w:hAnsi="仿宋"/>
          <w:sz w:val="32"/>
          <w:szCs w:val="32"/>
        </w:rPr>
      </w:pPr>
      <w:r>
        <w:rPr>
          <w:rFonts w:ascii="仿宋" w:eastAsia="仿宋" w:hAnsi="仿宋" w:hint="eastAsia"/>
          <w:sz w:val="32"/>
          <w:szCs w:val="32"/>
        </w:rPr>
        <w:lastRenderedPageBreak/>
        <w:t>本单位</w:t>
      </w:r>
      <w:r w:rsidR="00E2137C">
        <w:rPr>
          <w:rFonts w:ascii="仿宋" w:eastAsia="仿宋" w:hAnsi="仿宋" w:hint="eastAsia"/>
          <w:sz w:val="32"/>
          <w:szCs w:val="32"/>
        </w:rPr>
        <w:t>2021年度一般公共预算财政拨款支出合计22,431.33万元，其中：基本支出842.70万元，占3.76%；项目支出21,588.64万元，占96.24%。一般公共预算财政拨款支出22,431.33万元。与年初预算相比，减少56.46万元，下降0.25%,变动原因：年终财政收回结余资金。</w:t>
      </w:r>
    </w:p>
    <w:p w:rsidR="00E2137C" w:rsidRPr="007653A5" w:rsidRDefault="00DF2BC6">
      <w:pPr>
        <w:autoSpaceDE w:val="0"/>
        <w:autoSpaceDN w:val="0"/>
        <w:spacing w:before="100" w:beforeAutospacing="1" w:after="100" w:afterAutospacing="1" w:line="560" w:lineRule="atLeast"/>
        <w:ind w:firstLine="640"/>
        <w:rPr>
          <w:rFonts w:ascii="仿宋" w:eastAsia="仿宋" w:hAnsi="仿宋"/>
        </w:rPr>
      </w:pPr>
      <w:r w:rsidRPr="007653A5">
        <w:rPr>
          <w:rFonts w:ascii="仿宋" w:eastAsia="仿宋" w:hAnsi="仿宋" w:hint="eastAsia"/>
          <w:sz w:val="32"/>
          <w:szCs w:val="32"/>
        </w:rPr>
        <w:t>1.</w:t>
      </w:r>
      <w:r w:rsidR="00E2137C" w:rsidRPr="007653A5">
        <w:rPr>
          <w:rFonts w:ascii="仿宋" w:eastAsia="仿宋" w:hAnsi="仿宋" w:hint="eastAsia"/>
          <w:sz w:val="32"/>
          <w:szCs w:val="32"/>
        </w:rPr>
        <w:t>一般公共服务（类）</w:t>
      </w:r>
    </w:p>
    <w:p w:rsidR="00E2137C" w:rsidRDefault="00DF2BC6">
      <w:pPr>
        <w:autoSpaceDE w:val="0"/>
        <w:autoSpaceDN w:val="0"/>
        <w:spacing w:before="100" w:beforeAutospacing="1" w:after="100" w:afterAutospacing="1" w:line="560" w:lineRule="atLeast"/>
        <w:ind w:firstLine="640"/>
        <w:rPr>
          <w:rFonts w:ascii="仿宋" w:eastAsia="仿宋" w:hAnsi="仿宋"/>
          <w:sz w:val="32"/>
          <w:szCs w:val="32"/>
        </w:rPr>
      </w:pPr>
      <w:r w:rsidRPr="007653A5">
        <w:rPr>
          <w:rFonts w:ascii="仿宋" w:eastAsia="仿宋" w:hAnsi="仿宋" w:hint="eastAsia"/>
          <w:b/>
          <w:sz w:val="32"/>
          <w:szCs w:val="32"/>
        </w:rPr>
        <w:t>（1）</w:t>
      </w:r>
      <w:r w:rsidR="00E2137C" w:rsidRPr="007653A5">
        <w:rPr>
          <w:rFonts w:ascii="仿宋" w:eastAsia="仿宋" w:hAnsi="仿宋" w:hint="eastAsia"/>
          <w:b/>
          <w:sz w:val="32"/>
          <w:szCs w:val="32"/>
        </w:rPr>
        <w:t>民族事务（款）民族工作专项（项）。</w:t>
      </w:r>
      <w:r w:rsidR="00E2137C">
        <w:rPr>
          <w:rFonts w:ascii="仿宋" w:eastAsia="仿宋" w:hAnsi="仿宋" w:hint="eastAsia"/>
          <w:sz w:val="32"/>
          <w:szCs w:val="32"/>
        </w:rPr>
        <w:t>年初预算0.00万元，决算支出0.48万元，完成年初预算的100%。决算数与年初预算数的差异原因：年中追加《骑兵》</w:t>
      </w:r>
      <w:r w:rsidR="0020425D">
        <w:rPr>
          <w:rFonts w:ascii="仿宋" w:eastAsia="仿宋" w:hAnsi="仿宋" w:hint="eastAsia"/>
          <w:sz w:val="32"/>
          <w:szCs w:val="32"/>
        </w:rPr>
        <w:t>参评第六届全国少数民族文艺汇演</w:t>
      </w:r>
      <w:r w:rsidR="00E2137C">
        <w:rPr>
          <w:rFonts w:ascii="仿宋" w:eastAsia="仿宋" w:hAnsi="仿宋" w:hint="eastAsia"/>
          <w:sz w:val="32"/>
          <w:szCs w:val="32"/>
        </w:rPr>
        <w:t>项目经费。</w:t>
      </w:r>
    </w:p>
    <w:p w:rsidR="00E2137C" w:rsidRDefault="007653A5">
      <w:pPr>
        <w:autoSpaceDE w:val="0"/>
        <w:autoSpaceDN w:val="0"/>
        <w:spacing w:before="100" w:beforeAutospacing="1" w:after="100" w:afterAutospacing="1" w:line="560" w:lineRule="atLeast"/>
        <w:ind w:firstLine="640"/>
        <w:rPr>
          <w:rFonts w:ascii="仿宋" w:eastAsia="仿宋" w:hAnsi="仿宋"/>
          <w:sz w:val="32"/>
          <w:szCs w:val="32"/>
        </w:rPr>
      </w:pPr>
      <w:r>
        <w:rPr>
          <w:rFonts w:ascii="仿宋" w:eastAsia="仿宋" w:hAnsi="仿宋" w:hint="eastAsia"/>
          <w:sz w:val="32"/>
          <w:szCs w:val="32"/>
        </w:rPr>
        <w:t>2.</w:t>
      </w:r>
      <w:r w:rsidR="00E2137C">
        <w:rPr>
          <w:rFonts w:ascii="仿宋" w:eastAsia="仿宋" w:hAnsi="仿宋" w:hint="eastAsia"/>
          <w:sz w:val="32"/>
          <w:szCs w:val="32"/>
        </w:rPr>
        <w:t>文化旅游体育与传媒支出（类）</w:t>
      </w:r>
    </w:p>
    <w:p w:rsidR="00E2137C" w:rsidRDefault="007653A5">
      <w:pPr>
        <w:autoSpaceDE w:val="0"/>
        <w:autoSpaceDN w:val="0"/>
        <w:spacing w:before="100" w:beforeAutospacing="1" w:after="100" w:afterAutospacing="1" w:line="560" w:lineRule="atLeast"/>
        <w:ind w:firstLine="640"/>
        <w:rPr>
          <w:rFonts w:ascii="仿宋" w:eastAsia="仿宋" w:hAnsi="仿宋"/>
          <w:sz w:val="32"/>
          <w:szCs w:val="32"/>
        </w:rPr>
      </w:pPr>
      <w:r w:rsidRPr="007653A5">
        <w:rPr>
          <w:rFonts w:ascii="仿宋" w:eastAsia="仿宋" w:hAnsi="仿宋" w:hint="eastAsia"/>
          <w:b/>
          <w:sz w:val="32"/>
          <w:szCs w:val="32"/>
        </w:rPr>
        <w:t>（1）</w:t>
      </w:r>
      <w:r w:rsidR="00E2137C" w:rsidRPr="007653A5">
        <w:rPr>
          <w:rFonts w:ascii="仿宋" w:eastAsia="仿宋" w:hAnsi="仿宋" w:hint="eastAsia"/>
          <w:b/>
          <w:sz w:val="32"/>
          <w:szCs w:val="32"/>
        </w:rPr>
        <w:t>文化和旅游（款）艺术表演场所（项）。</w:t>
      </w:r>
      <w:r w:rsidR="00E2137C">
        <w:rPr>
          <w:rFonts w:ascii="仿宋" w:eastAsia="仿宋" w:hAnsi="仿宋" w:hint="eastAsia"/>
          <w:sz w:val="32"/>
          <w:szCs w:val="32"/>
        </w:rPr>
        <w:t>年初预算3</w:t>
      </w:r>
      <w:r w:rsidR="00C32F81">
        <w:rPr>
          <w:rFonts w:ascii="仿宋" w:eastAsia="仿宋" w:hAnsi="仿宋" w:hint="eastAsia"/>
          <w:sz w:val="32"/>
          <w:szCs w:val="32"/>
        </w:rPr>
        <w:t>,</w:t>
      </w:r>
      <w:r w:rsidR="00E2137C">
        <w:rPr>
          <w:rFonts w:ascii="仿宋" w:eastAsia="仿宋" w:hAnsi="仿宋" w:hint="eastAsia"/>
          <w:sz w:val="32"/>
          <w:szCs w:val="32"/>
        </w:rPr>
        <w:t>603.9万元，决算支出3</w:t>
      </w:r>
      <w:r w:rsidR="00C32F81">
        <w:rPr>
          <w:rFonts w:ascii="仿宋" w:eastAsia="仿宋" w:hAnsi="仿宋" w:hint="eastAsia"/>
          <w:sz w:val="32"/>
          <w:szCs w:val="32"/>
        </w:rPr>
        <w:t>,</w:t>
      </w:r>
      <w:r w:rsidR="00E2137C">
        <w:rPr>
          <w:rFonts w:ascii="仿宋" w:eastAsia="仿宋" w:hAnsi="仿宋" w:hint="eastAsia"/>
          <w:sz w:val="32"/>
          <w:szCs w:val="32"/>
        </w:rPr>
        <w:t>663.17万元，完成年初预算的101.64%。决算数与年初预算数的差异原因：年中追加《杂技团设施更新》项目经费。</w:t>
      </w:r>
    </w:p>
    <w:p w:rsidR="00E2137C" w:rsidRDefault="007653A5">
      <w:pPr>
        <w:autoSpaceDE w:val="0"/>
        <w:autoSpaceDN w:val="0"/>
        <w:spacing w:before="100" w:beforeAutospacing="1" w:after="100" w:afterAutospacing="1" w:line="560" w:lineRule="atLeast"/>
        <w:ind w:firstLine="640"/>
        <w:rPr>
          <w:rFonts w:ascii="仿宋" w:eastAsia="仿宋" w:hAnsi="仿宋"/>
          <w:sz w:val="32"/>
          <w:szCs w:val="32"/>
        </w:rPr>
      </w:pPr>
      <w:r w:rsidRPr="007653A5">
        <w:rPr>
          <w:rFonts w:ascii="仿宋" w:eastAsia="仿宋" w:hAnsi="仿宋" w:hint="eastAsia"/>
          <w:b/>
          <w:sz w:val="32"/>
          <w:szCs w:val="32"/>
        </w:rPr>
        <w:t>（</w:t>
      </w:r>
      <w:r w:rsidR="00E2137C" w:rsidRPr="007653A5">
        <w:rPr>
          <w:rFonts w:ascii="仿宋" w:eastAsia="仿宋" w:hAnsi="仿宋" w:hint="eastAsia"/>
          <w:b/>
          <w:sz w:val="32"/>
          <w:szCs w:val="32"/>
        </w:rPr>
        <w:t>2</w:t>
      </w:r>
      <w:r w:rsidRPr="007653A5">
        <w:rPr>
          <w:rFonts w:ascii="仿宋" w:eastAsia="仿宋" w:hAnsi="仿宋" w:hint="eastAsia"/>
          <w:b/>
          <w:sz w:val="32"/>
          <w:szCs w:val="32"/>
        </w:rPr>
        <w:t>）</w:t>
      </w:r>
      <w:r w:rsidR="00E2137C" w:rsidRPr="007653A5">
        <w:rPr>
          <w:rFonts w:ascii="仿宋" w:eastAsia="仿宋" w:hAnsi="仿宋" w:hint="eastAsia"/>
          <w:b/>
          <w:sz w:val="32"/>
          <w:szCs w:val="32"/>
        </w:rPr>
        <w:t>文化和旅游（款）艺术表演团体（项）。</w:t>
      </w:r>
      <w:r w:rsidR="00E2137C">
        <w:rPr>
          <w:rFonts w:ascii="仿宋" w:eastAsia="仿宋" w:hAnsi="仿宋" w:hint="eastAsia"/>
          <w:sz w:val="32"/>
          <w:szCs w:val="32"/>
        </w:rPr>
        <w:t>年初预算10</w:t>
      </w:r>
      <w:r w:rsidR="00C32F81">
        <w:rPr>
          <w:rFonts w:ascii="仿宋" w:eastAsia="仿宋" w:hAnsi="仿宋" w:hint="eastAsia"/>
          <w:sz w:val="32"/>
          <w:szCs w:val="32"/>
        </w:rPr>
        <w:t>,</w:t>
      </w:r>
      <w:r w:rsidR="00E2137C">
        <w:rPr>
          <w:rFonts w:ascii="仿宋" w:eastAsia="仿宋" w:hAnsi="仿宋" w:hint="eastAsia"/>
          <w:sz w:val="32"/>
          <w:szCs w:val="32"/>
        </w:rPr>
        <w:t>567.52万元，决算支出10</w:t>
      </w:r>
      <w:r w:rsidR="00C32F81">
        <w:rPr>
          <w:rFonts w:ascii="仿宋" w:eastAsia="仿宋" w:hAnsi="仿宋" w:hint="eastAsia"/>
          <w:sz w:val="32"/>
          <w:szCs w:val="32"/>
        </w:rPr>
        <w:t>,</w:t>
      </w:r>
      <w:r w:rsidR="00E2137C">
        <w:rPr>
          <w:rFonts w:ascii="仿宋" w:eastAsia="仿宋" w:hAnsi="仿宋" w:hint="eastAsia"/>
          <w:sz w:val="32"/>
          <w:szCs w:val="32"/>
        </w:rPr>
        <w:t>563.46万元，完成年初预算的99.96%。决算数与年初预算数的差异原因：年终财政收回结余资金。</w:t>
      </w:r>
    </w:p>
    <w:p w:rsidR="0020425D" w:rsidRDefault="007653A5" w:rsidP="0020425D">
      <w:pPr>
        <w:autoSpaceDE w:val="0"/>
        <w:autoSpaceDN w:val="0"/>
        <w:spacing w:before="100" w:beforeAutospacing="1" w:after="100" w:afterAutospacing="1" w:line="560" w:lineRule="atLeast"/>
        <w:ind w:firstLine="640"/>
        <w:rPr>
          <w:rFonts w:ascii="仿宋" w:eastAsia="仿宋" w:hAnsi="仿宋"/>
          <w:sz w:val="32"/>
          <w:szCs w:val="32"/>
        </w:rPr>
      </w:pPr>
      <w:r w:rsidRPr="007653A5">
        <w:rPr>
          <w:rFonts w:ascii="仿宋" w:eastAsia="仿宋" w:hAnsi="仿宋" w:hint="eastAsia"/>
          <w:b/>
          <w:sz w:val="32"/>
          <w:szCs w:val="32"/>
        </w:rPr>
        <w:lastRenderedPageBreak/>
        <w:t>（</w:t>
      </w:r>
      <w:r w:rsidR="00E2137C" w:rsidRPr="007653A5">
        <w:rPr>
          <w:rFonts w:ascii="仿宋" w:eastAsia="仿宋" w:hAnsi="仿宋" w:hint="eastAsia"/>
          <w:b/>
          <w:sz w:val="32"/>
          <w:szCs w:val="32"/>
        </w:rPr>
        <w:t>3</w:t>
      </w:r>
      <w:r w:rsidRPr="007653A5">
        <w:rPr>
          <w:rFonts w:ascii="仿宋" w:eastAsia="仿宋" w:hAnsi="仿宋" w:hint="eastAsia"/>
          <w:b/>
          <w:sz w:val="32"/>
          <w:szCs w:val="32"/>
        </w:rPr>
        <w:t>）</w:t>
      </w:r>
      <w:r w:rsidR="00E2137C" w:rsidRPr="007653A5">
        <w:rPr>
          <w:rFonts w:ascii="仿宋" w:eastAsia="仿宋" w:hAnsi="仿宋" w:hint="eastAsia"/>
          <w:b/>
          <w:sz w:val="32"/>
          <w:szCs w:val="32"/>
        </w:rPr>
        <w:t>文化和旅游（款）群众文化（项）。</w:t>
      </w:r>
      <w:r w:rsidR="00E2137C">
        <w:rPr>
          <w:rFonts w:ascii="仿宋" w:eastAsia="仿宋" w:hAnsi="仿宋" w:hint="eastAsia"/>
          <w:sz w:val="32"/>
          <w:szCs w:val="32"/>
        </w:rPr>
        <w:t>年初预算0.00万元，决算支出41.42万元，完成年初预算的100%。决算数与年初预算数的差异原因：</w:t>
      </w:r>
      <w:r w:rsidR="0020425D">
        <w:rPr>
          <w:rFonts w:ascii="仿宋" w:eastAsia="仿宋" w:hAnsi="仿宋" w:hint="eastAsia"/>
          <w:sz w:val="32"/>
          <w:szCs w:val="32"/>
        </w:rPr>
        <w:t>年中追加《骑兵》参评第六届全国少数民族文艺汇演项目经费。</w:t>
      </w:r>
    </w:p>
    <w:p w:rsidR="00E2137C" w:rsidRDefault="007653A5">
      <w:pPr>
        <w:autoSpaceDE w:val="0"/>
        <w:autoSpaceDN w:val="0"/>
        <w:spacing w:before="100" w:beforeAutospacing="1" w:after="100" w:afterAutospacing="1" w:line="560" w:lineRule="atLeast"/>
        <w:ind w:firstLine="640"/>
        <w:rPr>
          <w:rFonts w:ascii="仿宋" w:eastAsia="仿宋" w:hAnsi="仿宋"/>
          <w:sz w:val="32"/>
          <w:szCs w:val="32"/>
        </w:rPr>
      </w:pPr>
      <w:r w:rsidRPr="007653A5">
        <w:rPr>
          <w:rFonts w:ascii="仿宋" w:eastAsia="仿宋" w:hAnsi="仿宋" w:hint="eastAsia"/>
          <w:b/>
          <w:sz w:val="32"/>
          <w:szCs w:val="32"/>
        </w:rPr>
        <w:t>（</w:t>
      </w:r>
      <w:r w:rsidR="00E2137C" w:rsidRPr="007653A5">
        <w:rPr>
          <w:rFonts w:ascii="仿宋" w:eastAsia="仿宋" w:hAnsi="仿宋" w:hint="eastAsia"/>
          <w:b/>
          <w:sz w:val="32"/>
          <w:szCs w:val="32"/>
        </w:rPr>
        <w:t>4</w:t>
      </w:r>
      <w:r w:rsidRPr="007653A5">
        <w:rPr>
          <w:rFonts w:ascii="仿宋" w:eastAsia="仿宋" w:hAnsi="仿宋"/>
          <w:b/>
          <w:sz w:val="32"/>
          <w:szCs w:val="32"/>
        </w:rPr>
        <w:t>）</w:t>
      </w:r>
      <w:r w:rsidR="00E2137C" w:rsidRPr="007653A5">
        <w:rPr>
          <w:rFonts w:ascii="仿宋" w:eastAsia="仿宋" w:hAnsi="仿宋" w:hint="eastAsia"/>
          <w:b/>
          <w:sz w:val="32"/>
          <w:szCs w:val="32"/>
        </w:rPr>
        <w:t>文化和旅游（款）文化创作与保护（项）。</w:t>
      </w:r>
      <w:r w:rsidR="00E2137C">
        <w:rPr>
          <w:rFonts w:ascii="仿宋" w:eastAsia="仿宋" w:hAnsi="仿宋" w:hint="eastAsia"/>
          <w:sz w:val="32"/>
          <w:szCs w:val="32"/>
        </w:rPr>
        <w:t>年初预算63.97万元，决算支出72.92万元，完成年初预算的113.99%。决算数与年初预算数的差异原因：年中追加</w:t>
      </w:r>
      <w:r w:rsidR="0020425D">
        <w:rPr>
          <w:rFonts w:ascii="仿宋" w:eastAsia="仿宋" w:hAnsi="仿宋" w:hint="eastAsia"/>
          <w:sz w:val="32"/>
          <w:szCs w:val="32"/>
        </w:rPr>
        <w:t>舞剧</w:t>
      </w:r>
      <w:r w:rsidR="00E2137C">
        <w:rPr>
          <w:rFonts w:ascii="仿宋" w:eastAsia="仿宋" w:hAnsi="仿宋" w:hint="eastAsia"/>
          <w:sz w:val="32"/>
          <w:szCs w:val="32"/>
        </w:rPr>
        <w:t>《骑兵》项目经费。</w:t>
      </w:r>
    </w:p>
    <w:p w:rsidR="00E2137C" w:rsidRDefault="007653A5">
      <w:pPr>
        <w:autoSpaceDE w:val="0"/>
        <w:autoSpaceDN w:val="0"/>
        <w:spacing w:before="100" w:beforeAutospacing="1" w:after="100" w:afterAutospacing="1" w:line="560" w:lineRule="atLeast"/>
        <w:ind w:firstLine="640"/>
        <w:rPr>
          <w:rFonts w:ascii="仿宋" w:eastAsia="仿宋" w:hAnsi="仿宋"/>
          <w:sz w:val="32"/>
          <w:szCs w:val="32"/>
        </w:rPr>
      </w:pPr>
      <w:r w:rsidRPr="007653A5">
        <w:rPr>
          <w:rFonts w:ascii="仿宋" w:eastAsia="仿宋" w:hAnsi="仿宋" w:hint="eastAsia"/>
          <w:b/>
          <w:sz w:val="32"/>
          <w:szCs w:val="32"/>
        </w:rPr>
        <w:t>（</w:t>
      </w:r>
      <w:r>
        <w:rPr>
          <w:rFonts w:ascii="仿宋" w:eastAsia="仿宋" w:hAnsi="仿宋" w:hint="eastAsia"/>
          <w:b/>
          <w:sz w:val="32"/>
          <w:szCs w:val="32"/>
        </w:rPr>
        <w:t>5</w:t>
      </w:r>
      <w:r w:rsidRPr="007653A5">
        <w:rPr>
          <w:rFonts w:ascii="仿宋" w:eastAsia="仿宋" w:hAnsi="仿宋"/>
          <w:b/>
          <w:sz w:val="32"/>
          <w:szCs w:val="32"/>
        </w:rPr>
        <w:t>）</w:t>
      </w:r>
      <w:r w:rsidR="00E2137C" w:rsidRPr="007653A5">
        <w:rPr>
          <w:rFonts w:ascii="仿宋" w:eastAsia="仿宋" w:hAnsi="仿宋" w:hint="eastAsia"/>
          <w:b/>
          <w:sz w:val="32"/>
          <w:szCs w:val="32"/>
        </w:rPr>
        <w:t>文化和旅游（款）其他文化和旅游支出（项）。</w:t>
      </w:r>
      <w:r w:rsidR="00E2137C">
        <w:rPr>
          <w:rFonts w:ascii="仿宋" w:eastAsia="仿宋" w:hAnsi="仿宋" w:hint="eastAsia"/>
          <w:sz w:val="32"/>
          <w:szCs w:val="32"/>
        </w:rPr>
        <w:t>年初预算4</w:t>
      </w:r>
      <w:r w:rsidR="00C32F81">
        <w:rPr>
          <w:rFonts w:ascii="仿宋" w:eastAsia="仿宋" w:hAnsi="仿宋" w:hint="eastAsia"/>
          <w:sz w:val="32"/>
          <w:szCs w:val="32"/>
        </w:rPr>
        <w:t>,</w:t>
      </w:r>
      <w:r w:rsidR="00E2137C">
        <w:rPr>
          <w:rFonts w:ascii="仿宋" w:eastAsia="仿宋" w:hAnsi="仿宋" w:hint="eastAsia"/>
          <w:sz w:val="32"/>
          <w:szCs w:val="32"/>
        </w:rPr>
        <w:t>779.03万元，决算支出4</w:t>
      </w:r>
      <w:r w:rsidR="00C32F81">
        <w:rPr>
          <w:rFonts w:ascii="仿宋" w:eastAsia="仿宋" w:hAnsi="仿宋" w:hint="eastAsia"/>
          <w:sz w:val="32"/>
          <w:szCs w:val="32"/>
        </w:rPr>
        <w:t>,</w:t>
      </w:r>
      <w:r w:rsidR="00E2137C">
        <w:rPr>
          <w:rFonts w:ascii="仿宋" w:eastAsia="仿宋" w:hAnsi="仿宋" w:hint="eastAsia"/>
          <w:sz w:val="32"/>
          <w:szCs w:val="32"/>
        </w:rPr>
        <w:t>063.04万元，完成年初预算的85.02%。决算数与年初预算数的差异原因：年终财政收回结余资金。</w:t>
      </w:r>
    </w:p>
    <w:p w:rsidR="00E2137C" w:rsidRDefault="007653A5">
      <w:pPr>
        <w:autoSpaceDE w:val="0"/>
        <w:autoSpaceDN w:val="0"/>
        <w:spacing w:before="100" w:beforeAutospacing="1" w:after="100" w:afterAutospacing="1" w:line="560" w:lineRule="atLeast"/>
        <w:ind w:firstLine="640"/>
        <w:rPr>
          <w:rFonts w:ascii="仿宋" w:eastAsia="仿宋" w:hAnsi="仿宋"/>
          <w:sz w:val="32"/>
          <w:szCs w:val="32"/>
        </w:rPr>
      </w:pPr>
      <w:r w:rsidRPr="007653A5">
        <w:rPr>
          <w:rFonts w:ascii="仿宋" w:eastAsia="仿宋" w:hAnsi="仿宋" w:hint="eastAsia"/>
          <w:b/>
          <w:sz w:val="32"/>
          <w:szCs w:val="32"/>
        </w:rPr>
        <w:t>（6</w:t>
      </w:r>
      <w:r w:rsidRPr="007653A5">
        <w:rPr>
          <w:rFonts w:ascii="仿宋" w:eastAsia="仿宋" w:hAnsi="仿宋"/>
          <w:b/>
          <w:sz w:val="32"/>
          <w:szCs w:val="32"/>
        </w:rPr>
        <w:t>）</w:t>
      </w:r>
      <w:r w:rsidR="00E2137C" w:rsidRPr="007653A5">
        <w:rPr>
          <w:rFonts w:ascii="仿宋" w:eastAsia="仿宋" w:hAnsi="仿宋" w:hint="eastAsia"/>
          <w:b/>
          <w:sz w:val="32"/>
          <w:szCs w:val="32"/>
        </w:rPr>
        <w:t>其他文化旅游体育与传媒支出（款）其他文化旅游体育与传媒支出（项）。</w:t>
      </w:r>
      <w:r w:rsidR="00E2137C">
        <w:rPr>
          <w:rFonts w:ascii="仿宋" w:eastAsia="仿宋" w:hAnsi="仿宋" w:hint="eastAsia"/>
          <w:sz w:val="32"/>
          <w:szCs w:val="32"/>
        </w:rPr>
        <w:t>年初预算0万元，决算支出484.14万元，完成年初预算的100%。决算数与年初预算数的差异原因：年中追加舞剧《骑兵》</w:t>
      </w:r>
      <w:r w:rsidR="0020425D">
        <w:rPr>
          <w:rFonts w:ascii="仿宋" w:eastAsia="仿宋" w:hAnsi="仿宋" w:hint="eastAsia"/>
          <w:sz w:val="32"/>
          <w:szCs w:val="32"/>
        </w:rPr>
        <w:t>演出设备经费</w:t>
      </w:r>
      <w:r w:rsidR="00E2137C">
        <w:rPr>
          <w:rFonts w:ascii="仿宋" w:eastAsia="仿宋" w:hAnsi="仿宋" w:hint="eastAsia"/>
          <w:sz w:val="32"/>
          <w:szCs w:val="32"/>
        </w:rPr>
        <w:t>、交响乐《旗帜》项目经费</w:t>
      </w:r>
      <w:r w:rsidR="0020425D">
        <w:rPr>
          <w:rFonts w:ascii="仿宋" w:eastAsia="仿宋" w:hAnsi="仿宋" w:hint="eastAsia"/>
          <w:sz w:val="32"/>
          <w:szCs w:val="32"/>
        </w:rPr>
        <w:t>、达日玛同志专场音乐会专项经费</w:t>
      </w:r>
      <w:r w:rsidR="00E2137C">
        <w:rPr>
          <w:rFonts w:ascii="仿宋" w:eastAsia="仿宋" w:hAnsi="仿宋" w:hint="eastAsia"/>
          <w:sz w:val="32"/>
          <w:szCs w:val="32"/>
        </w:rPr>
        <w:t>。</w:t>
      </w:r>
    </w:p>
    <w:p w:rsidR="00E2137C" w:rsidRPr="007653A5" w:rsidRDefault="007653A5">
      <w:pPr>
        <w:autoSpaceDE w:val="0"/>
        <w:autoSpaceDN w:val="0"/>
        <w:spacing w:before="100" w:beforeAutospacing="1" w:after="100" w:afterAutospacing="1" w:line="560" w:lineRule="atLeast"/>
        <w:ind w:firstLine="640"/>
        <w:rPr>
          <w:rFonts w:ascii="仿宋" w:eastAsia="仿宋" w:hAnsi="仿宋"/>
        </w:rPr>
      </w:pPr>
      <w:r w:rsidRPr="007653A5">
        <w:rPr>
          <w:rFonts w:ascii="仿宋" w:eastAsia="仿宋" w:hAnsi="仿宋" w:hint="eastAsia"/>
          <w:sz w:val="32"/>
          <w:szCs w:val="32"/>
        </w:rPr>
        <w:t>3.</w:t>
      </w:r>
      <w:r w:rsidR="00E2137C" w:rsidRPr="007653A5">
        <w:rPr>
          <w:rFonts w:ascii="仿宋" w:eastAsia="仿宋" w:hAnsi="仿宋" w:hint="eastAsia"/>
          <w:sz w:val="32"/>
          <w:szCs w:val="32"/>
        </w:rPr>
        <w:t>社会保障和就业支出（类）</w:t>
      </w:r>
    </w:p>
    <w:p w:rsidR="00E2137C" w:rsidRPr="00C6150B" w:rsidRDefault="007653A5">
      <w:pPr>
        <w:autoSpaceDE w:val="0"/>
        <w:autoSpaceDN w:val="0"/>
        <w:spacing w:before="100" w:beforeAutospacing="1" w:after="100" w:afterAutospacing="1" w:line="560" w:lineRule="atLeast"/>
        <w:ind w:firstLine="640"/>
        <w:rPr>
          <w:rFonts w:ascii="仿宋" w:eastAsia="仿宋" w:hAnsi="仿宋"/>
          <w:color w:val="000000" w:themeColor="text1"/>
          <w:sz w:val="32"/>
          <w:szCs w:val="32"/>
        </w:rPr>
      </w:pPr>
      <w:r w:rsidRPr="007653A5">
        <w:rPr>
          <w:rFonts w:ascii="仿宋" w:eastAsia="仿宋" w:hAnsi="仿宋" w:hint="eastAsia"/>
          <w:b/>
          <w:sz w:val="32"/>
          <w:szCs w:val="32"/>
        </w:rPr>
        <w:t>（</w:t>
      </w:r>
      <w:r>
        <w:rPr>
          <w:rFonts w:ascii="仿宋" w:eastAsia="仿宋" w:hAnsi="仿宋" w:hint="eastAsia"/>
          <w:b/>
          <w:sz w:val="32"/>
          <w:szCs w:val="32"/>
        </w:rPr>
        <w:t>1</w:t>
      </w:r>
      <w:r w:rsidRPr="007653A5">
        <w:rPr>
          <w:rFonts w:ascii="仿宋" w:eastAsia="仿宋" w:hAnsi="仿宋"/>
          <w:b/>
          <w:sz w:val="32"/>
          <w:szCs w:val="32"/>
        </w:rPr>
        <w:t>）</w:t>
      </w:r>
      <w:r w:rsidR="00E2137C" w:rsidRPr="007653A5">
        <w:rPr>
          <w:rFonts w:ascii="仿宋" w:eastAsia="仿宋" w:hAnsi="仿宋" w:hint="eastAsia"/>
          <w:b/>
          <w:sz w:val="32"/>
          <w:szCs w:val="32"/>
        </w:rPr>
        <w:t>人力资源和社会保障管理事务（款）引进人才费用（项）。</w:t>
      </w:r>
      <w:r w:rsidR="00E2137C" w:rsidRPr="00C6150B">
        <w:rPr>
          <w:rFonts w:ascii="仿宋" w:eastAsia="仿宋" w:hAnsi="仿宋" w:hint="eastAsia"/>
          <w:color w:val="000000" w:themeColor="text1"/>
          <w:sz w:val="32"/>
          <w:szCs w:val="32"/>
        </w:rPr>
        <w:t>年初预算</w:t>
      </w:r>
      <w:r w:rsidR="00E2137C" w:rsidRPr="00C6150B">
        <w:rPr>
          <w:rFonts w:ascii="仿宋_GB2312" w:hAnsi="仿宋_GB2312" w:hint="eastAsia"/>
          <w:color w:val="000000" w:themeColor="text1"/>
          <w:sz w:val="32"/>
          <w:szCs w:val="32"/>
        </w:rPr>
        <w:t>20</w:t>
      </w:r>
      <w:r w:rsidR="00E2137C" w:rsidRPr="00C6150B">
        <w:rPr>
          <w:rFonts w:ascii="仿宋" w:eastAsia="仿宋" w:hAnsi="仿宋" w:hint="eastAsia"/>
          <w:color w:val="000000" w:themeColor="text1"/>
          <w:sz w:val="32"/>
          <w:szCs w:val="32"/>
        </w:rPr>
        <w:t>万元，决算支出0.09万元，完成年</w:t>
      </w:r>
      <w:r w:rsidR="00E2137C" w:rsidRPr="00C6150B">
        <w:rPr>
          <w:rFonts w:ascii="仿宋" w:eastAsia="仿宋" w:hAnsi="仿宋" w:hint="eastAsia"/>
          <w:color w:val="000000" w:themeColor="text1"/>
          <w:sz w:val="32"/>
          <w:szCs w:val="32"/>
        </w:rPr>
        <w:lastRenderedPageBreak/>
        <w:t>初预算的0.45%。决算数与年初预算数的差异原因：</w:t>
      </w:r>
      <w:r w:rsidR="0020425D">
        <w:rPr>
          <w:rFonts w:ascii="仿宋" w:eastAsia="仿宋" w:hAnsi="仿宋" w:hint="eastAsia"/>
          <w:color w:val="000000" w:themeColor="text1"/>
          <w:sz w:val="32"/>
          <w:szCs w:val="32"/>
        </w:rPr>
        <w:t>草原英才为三年期项目，加之</w:t>
      </w:r>
      <w:r w:rsidR="00E2137C" w:rsidRPr="00C6150B">
        <w:rPr>
          <w:rFonts w:ascii="仿宋" w:eastAsia="仿宋" w:hAnsi="仿宋" w:hint="eastAsia"/>
          <w:color w:val="000000" w:themeColor="text1"/>
          <w:sz w:val="32"/>
          <w:szCs w:val="32"/>
        </w:rPr>
        <w:t>疫情原因影响，草原英才项目暂缓执行。</w:t>
      </w:r>
    </w:p>
    <w:p w:rsidR="00E2137C" w:rsidRDefault="007653A5">
      <w:pPr>
        <w:autoSpaceDE w:val="0"/>
        <w:autoSpaceDN w:val="0"/>
        <w:spacing w:before="100" w:beforeAutospacing="1" w:after="100" w:afterAutospacing="1" w:line="560" w:lineRule="atLeast"/>
        <w:ind w:firstLine="640"/>
        <w:rPr>
          <w:rFonts w:ascii="仿宋" w:eastAsia="仿宋" w:hAnsi="仿宋"/>
          <w:sz w:val="32"/>
          <w:szCs w:val="32"/>
        </w:rPr>
      </w:pPr>
      <w:r w:rsidRPr="00C86C46">
        <w:rPr>
          <w:rFonts w:ascii="仿宋" w:eastAsia="仿宋" w:hAnsi="仿宋" w:hint="eastAsia"/>
          <w:b/>
          <w:sz w:val="32"/>
          <w:szCs w:val="32"/>
        </w:rPr>
        <w:t>（2</w:t>
      </w:r>
      <w:r w:rsidRPr="00C86C46">
        <w:rPr>
          <w:rFonts w:ascii="仿宋" w:eastAsia="仿宋" w:hAnsi="仿宋"/>
          <w:b/>
          <w:sz w:val="32"/>
          <w:szCs w:val="32"/>
        </w:rPr>
        <w:t>）</w:t>
      </w:r>
      <w:r w:rsidR="00E2137C" w:rsidRPr="00C86C46">
        <w:rPr>
          <w:rFonts w:ascii="仿宋" w:eastAsia="仿宋" w:hAnsi="仿宋" w:hint="eastAsia"/>
          <w:b/>
          <w:sz w:val="32"/>
          <w:szCs w:val="32"/>
        </w:rPr>
        <w:t>行政事业单位养老支出（款）事业单位离退休（项）。</w:t>
      </w:r>
      <w:r w:rsidR="00E2137C">
        <w:rPr>
          <w:rFonts w:ascii="仿宋" w:eastAsia="仿宋" w:hAnsi="仿宋" w:hint="eastAsia"/>
          <w:sz w:val="32"/>
          <w:szCs w:val="32"/>
        </w:rPr>
        <w:t>年</w:t>
      </w:r>
      <w:r w:rsidR="00E2137C" w:rsidRPr="00C6150B">
        <w:rPr>
          <w:rFonts w:ascii="仿宋" w:eastAsia="仿宋" w:hAnsi="仿宋" w:hint="eastAsia"/>
          <w:color w:val="000000" w:themeColor="text1"/>
          <w:sz w:val="32"/>
          <w:szCs w:val="32"/>
        </w:rPr>
        <w:t>初预算</w:t>
      </w:r>
      <w:r w:rsidR="00E2137C" w:rsidRPr="00C6150B">
        <w:rPr>
          <w:rFonts w:ascii="仿宋_GB2312" w:hAnsi="仿宋_GB2312" w:hint="eastAsia"/>
          <w:color w:val="000000" w:themeColor="text1"/>
          <w:sz w:val="32"/>
          <w:szCs w:val="32"/>
        </w:rPr>
        <w:t>645.89</w:t>
      </w:r>
      <w:r w:rsidR="00E2137C" w:rsidRPr="00C6150B">
        <w:rPr>
          <w:rFonts w:ascii="仿宋" w:eastAsia="仿宋" w:hAnsi="仿宋" w:hint="eastAsia"/>
          <w:color w:val="000000" w:themeColor="text1"/>
          <w:sz w:val="32"/>
          <w:szCs w:val="32"/>
        </w:rPr>
        <w:t>万元，决算支出</w:t>
      </w:r>
      <w:r w:rsidR="00E2137C" w:rsidRPr="00C6150B">
        <w:rPr>
          <w:rFonts w:ascii="仿宋_GB2312" w:hAnsi="仿宋_GB2312" w:hint="eastAsia"/>
          <w:color w:val="000000" w:themeColor="text1"/>
          <w:sz w:val="32"/>
          <w:szCs w:val="32"/>
        </w:rPr>
        <w:t>645.89</w:t>
      </w:r>
      <w:r w:rsidR="00E2137C" w:rsidRPr="00C6150B">
        <w:rPr>
          <w:rFonts w:ascii="仿宋" w:eastAsia="仿宋" w:hAnsi="仿宋" w:hint="eastAsia"/>
          <w:color w:val="000000" w:themeColor="text1"/>
          <w:sz w:val="32"/>
          <w:szCs w:val="32"/>
        </w:rPr>
        <w:t>万元，完</w:t>
      </w:r>
      <w:r w:rsidR="00E2137C">
        <w:rPr>
          <w:rFonts w:ascii="仿宋" w:eastAsia="仿宋" w:hAnsi="仿宋" w:hint="eastAsia"/>
          <w:sz w:val="32"/>
          <w:szCs w:val="32"/>
        </w:rPr>
        <w:t>成年初预算的100%。本年无差异。</w:t>
      </w:r>
    </w:p>
    <w:p w:rsidR="00E2137C" w:rsidRDefault="007653A5">
      <w:pPr>
        <w:autoSpaceDE w:val="0"/>
        <w:autoSpaceDN w:val="0"/>
        <w:spacing w:before="100" w:beforeAutospacing="1" w:after="100" w:afterAutospacing="1" w:line="560" w:lineRule="atLeast"/>
        <w:ind w:firstLine="640"/>
        <w:rPr>
          <w:rFonts w:ascii="仿宋" w:eastAsia="仿宋" w:hAnsi="仿宋"/>
          <w:sz w:val="32"/>
          <w:szCs w:val="32"/>
        </w:rPr>
      </w:pPr>
      <w:r w:rsidRPr="00C86C46">
        <w:rPr>
          <w:rFonts w:ascii="仿宋" w:eastAsia="仿宋" w:hAnsi="仿宋" w:hint="eastAsia"/>
          <w:b/>
          <w:sz w:val="32"/>
          <w:szCs w:val="32"/>
        </w:rPr>
        <w:t>（3</w:t>
      </w:r>
      <w:r w:rsidRPr="00C86C46">
        <w:rPr>
          <w:rFonts w:ascii="仿宋" w:eastAsia="仿宋" w:hAnsi="仿宋"/>
          <w:b/>
          <w:sz w:val="32"/>
          <w:szCs w:val="32"/>
        </w:rPr>
        <w:t>）</w:t>
      </w:r>
      <w:r w:rsidR="00E2137C" w:rsidRPr="00C86C46">
        <w:rPr>
          <w:rFonts w:ascii="仿宋" w:eastAsia="仿宋" w:hAnsi="仿宋" w:hint="eastAsia"/>
          <w:b/>
          <w:sz w:val="32"/>
          <w:szCs w:val="32"/>
        </w:rPr>
        <w:t>行政事业单位养老支出（款）机关事业单位基本养老保险缴费支出（项）。</w:t>
      </w:r>
      <w:r w:rsidR="00E2137C" w:rsidRPr="00C6150B">
        <w:rPr>
          <w:rFonts w:ascii="仿宋" w:eastAsia="仿宋" w:hAnsi="仿宋" w:hint="eastAsia"/>
          <w:color w:val="000000" w:themeColor="text1"/>
          <w:sz w:val="32"/>
          <w:szCs w:val="32"/>
        </w:rPr>
        <w:t>年初预算</w:t>
      </w:r>
      <w:r w:rsidR="00E2137C" w:rsidRPr="00C6150B">
        <w:rPr>
          <w:rFonts w:ascii="仿宋_GB2312" w:hAnsi="仿宋_GB2312" w:hint="eastAsia"/>
          <w:color w:val="000000" w:themeColor="text1"/>
          <w:sz w:val="32"/>
          <w:szCs w:val="32"/>
        </w:rPr>
        <w:t>97</w:t>
      </w:r>
      <w:r w:rsidR="00C32F81">
        <w:rPr>
          <w:rFonts w:ascii="仿宋_GB2312" w:hAnsi="仿宋_GB2312" w:hint="eastAsia"/>
          <w:color w:val="000000" w:themeColor="text1"/>
          <w:sz w:val="32"/>
          <w:szCs w:val="32"/>
        </w:rPr>
        <w:t>0</w:t>
      </w:r>
      <w:r w:rsidR="00E2137C" w:rsidRPr="00C6150B">
        <w:rPr>
          <w:rFonts w:ascii="仿宋_GB2312" w:hAnsi="仿宋_GB2312" w:hint="eastAsia"/>
          <w:color w:val="000000" w:themeColor="text1"/>
          <w:sz w:val="32"/>
          <w:szCs w:val="32"/>
        </w:rPr>
        <w:t>.</w:t>
      </w:r>
      <w:r w:rsidR="00EA6013">
        <w:rPr>
          <w:rFonts w:ascii="仿宋_GB2312" w:hAnsi="仿宋_GB2312" w:hint="eastAsia"/>
          <w:color w:val="000000" w:themeColor="text1"/>
          <w:sz w:val="32"/>
          <w:szCs w:val="32"/>
        </w:rPr>
        <w:t>30</w:t>
      </w:r>
      <w:r w:rsidR="00E2137C" w:rsidRPr="00C6150B">
        <w:rPr>
          <w:rFonts w:ascii="仿宋" w:eastAsia="仿宋" w:hAnsi="仿宋" w:hint="eastAsia"/>
          <w:color w:val="000000" w:themeColor="text1"/>
          <w:sz w:val="32"/>
          <w:szCs w:val="32"/>
        </w:rPr>
        <w:t>万元，决算支出970.75万元，完成年初预算的</w:t>
      </w:r>
      <w:r w:rsidR="00EA6013">
        <w:rPr>
          <w:rFonts w:ascii="仿宋" w:eastAsia="仿宋" w:hAnsi="仿宋" w:hint="eastAsia"/>
          <w:color w:val="000000" w:themeColor="text1"/>
          <w:sz w:val="32"/>
          <w:szCs w:val="32"/>
        </w:rPr>
        <w:t>100</w:t>
      </w:r>
      <w:r w:rsidR="00E2137C" w:rsidRPr="00C6150B">
        <w:rPr>
          <w:rFonts w:ascii="仿宋" w:eastAsia="仿宋" w:hAnsi="仿宋" w:hint="eastAsia"/>
          <w:color w:val="000000" w:themeColor="text1"/>
          <w:sz w:val="32"/>
          <w:szCs w:val="32"/>
        </w:rPr>
        <w:t>%。</w:t>
      </w:r>
      <w:r w:rsidR="00EA6013">
        <w:rPr>
          <w:rFonts w:ascii="仿宋" w:eastAsia="仿宋" w:hAnsi="仿宋" w:hint="eastAsia"/>
          <w:sz w:val="32"/>
          <w:szCs w:val="32"/>
        </w:rPr>
        <w:t>本年无差异。</w:t>
      </w:r>
    </w:p>
    <w:p w:rsidR="00E2137C" w:rsidRDefault="007653A5">
      <w:pPr>
        <w:autoSpaceDE w:val="0"/>
        <w:autoSpaceDN w:val="0"/>
        <w:spacing w:before="100" w:beforeAutospacing="1" w:after="100" w:afterAutospacing="1" w:line="560" w:lineRule="atLeast"/>
        <w:ind w:firstLine="640"/>
        <w:rPr>
          <w:rFonts w:ascii="仿宋" w:eastAsia="仿宋" w:hAnsi="仿宋"/>
          <w:sz w:val="32"/>
          <w:szCs w:val="32"/>
        </w:rPr>
      </w:pPr>
      <w:r w:rsidRPr="00C86C46">
        <w:rPr>
          <w:rFonts w:ascii="仿宋" w:eastAsia="仿宋" w:hAnsi="仿宋" w:hint="eastAsia"/>
          <w:b/>
          <w:sz w:val="32"/>
          <w:szCs w:val="32"/>
        </w:rPr>
        <w:t>（4</w:t>
      </w:r>
      <w:r w:rsidRPr="00C86C46">
        <w:rPr>
          <w:rFonts w:ascii="仿宋" w:eastAsia="仿宋" w:hAnsi="仿宋"/>
          <w:b/>
          <w:sz w:val="32"/>
          <w:szCs w:val="32"/>
        </w:rPr>
        <w:t>）</w:t>
      </w:r>
      <w:r w:rsidR="00E2137C" w:rsidRPr="00C86C46">
        <w:rPr>
          <w:rFonts w:ascii="仿宋" w:eastAsia="仿宋" w:hAnsi="仿宋" w:hint="eastAsia"/>
          <w:b/>
          <w:sz w:val="32"/>
          <w:szCs w:val="32"/>
        </w:rPr>
        <w:t>行政事业单位养老支出（款）机关事业单位职业年金缴费支出（项）。</w:t>
      </w:r>
      <w:r w:rsidR="00E2137C">
        <w:rPr>
          <w:rFonts w:ascii="仿宋" w:eastAsia="仿宋" w:hAnsi="仿宋" w:hint="eastAsia"/>
          <w:sz w:val="32"/>
          <w:szCs w:val="32"/>
        </w:rPr>
        <w:t>年初预</w:t>
      </w:r>
      <w:r w:rsidR="00E2137C" w:rsidRPr="00C6150B">
        <w:rPr>
          <w:rFonts w:ascii="仿宋" w:eastAsia="仿宋" w:hAnsi="仿宋" w:hint="eastAsia"/>
          <w:color w:val="000000" w:themeColor="text1"/>
          <w:sz w:val="32"/>
          <w:szCs w:val="32"/>
        </w:rPr>
        <w:t>算</w:t>
      </w:r>
      <w:r w:rsidR="00E2137C" w:rsidRPr="00C6150B">
        <w:rPr>
          <w:rFonts w:ascii="仿宋_GB2312" w:hAnsi="仿宋_GB2312" w:hint="eastAsia"/>
          <w:color w:val="000000" w:themeColor="text1"/>
          <w:sz w:val="32"/>
          <w:szCs w:val="32"/>
        </w:rPr>
        <w:t>533</w:t>
      </w:r>
      <w:r w:rsidR="00E2137C" w:rsidRPr="00C6150B">
        <w:rPr>
          <w:rFonts w:ascii="仿宋" w:eastAsia="仿宋" w:hAnsi="仿宋" w:hint="eastAsia"/>
          <w:color w:val="000000" w:themeColor="text1"/>
          <w:sz w:val="32"/>
          <w:szCs w:val="32"/>
        </w:rPr>
        <w:t>万元，</w:t>
      </w:r>
      <w:r w:rsidR="00E2137C">
        <w:rPr>
          <w:rFonts w:ascii="仿宋" w:eastAsia="仿宋" w:hAnsi="仿宋" w:hint="eastAsia"/>
          <w:sz w:val="32"/>
          <w:szCs w:val="32"/>
        </w:rPr>
        <w:t>决算支出532.73万元，完成年初预算的99.95%。决算数与年初预算数的差异原因：年终财政收回结余资金。</w:t>
      </w:r>
    </w:p>
    <w:p w:rsidR="00E2137C" w:rsidRDefault="007653A5">
      <w:pPr>
        <w:autoSpaceDE w:val="0"/>
        <w:autoSpaceDN w:val="0"/>
        <w:spacing w:before="100" w:beforeAutospacing="1" w:after="100" w:afterAutospacing="1" w:line="560" w:lineRule="atLeast"/>
        <w:ind w:firstLine="640"/>
        <w:rPr>
          <w:rFonts w:ascii="仿宋" w:eastAsia="仿宋" w:hAnsi="仿宋"/>
          <w:sz w:val="32"/>
          <w:szCs w:val="32"/>
        </w:rPr>
      </w:pPr>
      <w:r w:rsidRPr="00C86C46">
        <w:rPr>
          <w:rFonts w:ascii="仿宋" w:eastAsia="仿宋" w:hAnsi="仿宋" w:hint="eastAsia"/>
          <w:b/>
          <w:sz w:val="32"/>
          <w:szCs w:val="32"/>
        </w:rPr>
        <w:t>（5</w:t>
      </w:r>
      <w:r w:rsidRPr="00C86C46">
        <w:rPr>
          <w:rFonts w:ascii="仿宋" w:eastAsia="仿宋" w:hAnsi="仿宋"/>
          <w:b/>
          <w:sz w:val="32"/>
          <w:szCs w:val="32"/>
        </w:rPr>
        <w:t>）</w:t>
      </w:r>
      <w:r w:rsidR="00E2137C" w:rsidRPr="00C86C46">
        <w:rPr>
          <w:rFonts w:ascii="仿宋" w:eastAsia="仿宋" w:hAnsi="仿宋" w:hint="eastAsia"/>
          <w:b/>
          <w:sz w:val="32"/>
          <w:szCs w:val="32"/>
        </w:rPr>
        <w:t>抚恤（款）死亡抚恤（项）。</w:t>
      </w:r>
      <w:r w:rsidR="00E2137C">
        <w:rPr>
          <w:rFonts w:ascii="仿宋" w:eastAsia="仿宋" w:hAnsi="仿宋" w:hint="eastAsia"/>
          <w:sz w:val="32"/>
          <w:szCs w:val="32"/>
        </w:rPr>
        <w:t>年初</w:t>
      </w:r>
      <w:r w:rsidR="00E2137C" w:rsidRPr="00C6150B">
        <w:rPr>
          <w:rFonts w:ascii="仿宋" w:eastAsia="仿宋" w:hAnsi="仿宋" w:hint="eastAsia"/>
          <w:color w:val="000000" w:themeColor="text1"/>
          <w:sz w:val="32"/>
          <w:szCs w:val="32"/>
        </w:rPr>
        <w:t>预算</w:t>
      </w:r>
      <w:r w:rsidR="00E2137C" w:rsidRPr="00C6150B">
        <w:rPr>
          <w:rFonts w:ascii="仿宋_GB2312" w:hAnsi="仿宋_GB2312" w:hint="eastAsia"/>
          <w:color w:val="000000" w:themeColor="text1"/>
          <w:sz w:val="32"/>
          <w:szCs w:val="32"/>
        </w:rPr>
        <w:t>0</w:t>
      </w:r>
      <w:r w:rsidR="00E2137C" w:rsidRPr="00C6150B">
        <w:rPr>
          <w:rFonts w:ascii="仿宋" w:eastAsia="仿宋" w:hAnsi="仿宋" w:hint="eastAsia"/>
          <w:color w:val="000000" w:themeColor="text1"/>
          <w:sz w:val="32"/>
          <w:szCs w:val="32"/>
        </w:rPr>
        <w:t>万元</w:t>
      </w:r>
      <w:r w:rsidR="00E2137C">
        <w:rPr>
          <w:rFonts w:ascii="仿宋" w:eastAsia="仿宋" w:hAnsi="仿宋" w:hint="eastAsia"/>
          <w:sz w:val="32"/>
          <w:szCs w:val="32"/>
        </w:rPr>
        <w:t>，决算支出90.7万元，完成年初预算的100%。决算数与年初预算数的差异原因：年中追加丧葬费抚恤金。</w:t>
      </w:r>
    </w:p>
    <w:p w:rsidR="00E2137C" w:rsidRDefault="007653A5">
      <w:pPr>
        <w:autoSpaceDE w:val="0"/>
        <w:autoSpaceDN w:val="0"/>
        <w:spacing w:before="100" w:beforeAutospacing="1" w:after="100" w:afterAutospacing="1" w:line="560" w:lineRule="atLeast"/>
        <w:ind w:firstLine="640"/>
      </w:pPr>
      <w:r>
        <w:rPr>
          <w:rFonts w:ascii="楷体" w:eastAsia="楷体" w:hAnsi="楷体" w:hint="eastAsia"/>
          <w:sz w:val="32"/>
          <w:szCs w:val="32"/>
        </w:rPr>
        <w:t>4.</w:t>
      </w:r>
      <w:r w:rsidR="00E2137C">
        <w:rPr>
          <w:rFonts w:ascii="楷体" w:eastAsia="楷体" w:hAnsi="楷体" w:hint="eastAsia"/>
          <w:sz w:val="32"/>
          <w:szCs w:val="32"/>
        </w:rPr>
        <w:t>卫生健康支出（类）</w:t>
      </w:r>
    </w:p>
    <w:p w:rsidR="00E2137C" w:rsidRDefault="007653A5">
      <w:pPr>
        <w:autoSpaceDE w:val="0"/>
        <w:autoSpaceDN w:val="0"/>
        <w:spacing w:before="100" w:beforeAutospacing="1" w:after="100" w:afterAutospacing="1" w:line="560" w:lineRule="atLeast"/>
        <w:ind w:firstLine="640"/>
        <w:rPr>
          <w:rFonts w:ascii="仿宋" w:eastAsia="仿宋" w:hAnsi="仿宋"/>
          <w:sz w:val="32"/>
          <w:szCs w:val="32"/>
        </w:rPr>
      </w:pPr>
      <w:r w:rsidRPr="00C86C46">
        <w:rPr>
          <w:rFonts w:ascii="仿宋" w:eastAsia="仿宋" w:hAnsi="仿宋" w:hint="eastAsia"/>
          <w:b/>
          <w:sz w:val="32"/>
          <w:szCs w:val="32"/>
        </w:rPr>
        <w:t>（1</w:t>
      </w:r>
      <w:r w:rsidRPr="00C86C46">
        <w:rPr>
          <w:rFonts w:ascii="仿宋" w:eastAsia="仿宋" w:hAnsi="仿宋"/>
          <w:b/>
          <w:sz w:val="32"/>
          <w:szCs w:val="32"/>
        </w:rPr>
        <w:t>）</w:t>
      </w:r>
      <w:r w:rsidR="00E2137C" w:rsidRPr="00C86C46">
        <w:rPr>
          <w:rFonts w:ascii="仿宋" w:eastAsia="仿宋" w:hAnsi="仿宋" w:hint="eastAsia"/>
          <w:b/>
          <w:sz w:val="32"/>
          <w:szCs w:val="32"/>
        </w:rPr>
        <w:t>行政事业单位医疗（款）事业单位医疗（项）。</w:t>
      </w:r>
      <w:r w:rsidR="00E2137C">
        <w:rPr>
          <w:rFonts w:ascii="仿宋" w:eastAsia="仿宋" w:hAnsi="仿宋" w:hint="eastAsia"/>
          <w:sz w:val="32"/>
          <w:szCs w:val="32"/>
        </w:rPr>
        <w:t>年初预算560.18万元，决算支出559.95万元，完成年初预</w:t>
      </w:r>
      <w:r w:rsidR="00E2137C">
        <w:rPr>
          <w:rFonts w:ascii="仿宋" w:eastAsia="仿宋" w:hAnsi="仿宋" w:hint="eastAsia"/>
          <w:sz w:val="32"/>
          <w:szCs w:val="32"/>
        </w:rPr>
        <w:lastRenderedPageBreak/>
        <w:t>算的99.96%。决算数与年初预算数的差异原因：年终财政收回结余资金。</w:t>
      </w:r>
    </w:p>
    <w:p w:rsidR="00E2137C" w:rsidRDefault="007653A5">
      <w:pPr>
        <w:autoSpaceDE w:val="0"/>
        <w:autoSpaceDN w:val="0"/>
        <w:spacing w:before="100" w:beforeAutospacing="1" w:after="100" w:afterAutospacing="1" w:line="560" w:lineRule="atLeast"/>
        <w:ind w:firstLine="640"/>
      </w:pPr>
      <w:r>
        <w:rPr>
          <w:rFonts w:ascii="楷体" w:eastAsia="楷体" w:hAnsi="楷体" w:hint="eastAsia"/>
          <w:sz w:val="32"/>
          <w:szCs w:val="32"/>
        </w:rPr>
        <w:t>5.</w:t>
      </w:r>
      <w:r w:rsidR="00E2137C">
        <w:rPr>
          <w:rFonts w:ascii="楷体" w:eastAsia="楷体" w:hAnsi="楷体" w:hint="eastAsia"/>
          <w:sz w:val="32"/>
          <w:szCs w:val="32"/>
        </w:rPr>
        <w:t>住房保障支出（类）</w:t>
      </w:r>
    </w:p>
    <w:p w:rsidR="00E2137C" w:rsidRDefault="007653A5">
      <w:pPr>
        <w:autoSpaceDE w:val="0"/>
        <w:autoSpaceDN w:val="0"/>
        <w:spacing w:before="100" w:beforeAutospacing="1" w:after="100" w:afterAutospacing="1" w:line="560" w:lineRule="atLeast"/>
        <w:ind w:firstLine="640"/>
        <w:rPr>
          <w:rFonts w:ascii="仿宋" w:eastAsia="仿宋" w:hAnsi="仿宋"/>
          <w:sz w:val="32"/>
          <w:szCs w:val="32"/>
        </w:rPr>
      </w:pPr>
      <w:r w:rsidRPr="00C86C46">
        <w:rPr>
          <w:rFonts w:ascii="仿宋" w:eastAsia="仿宋" w:hAnsi="仿宋" w:hint="eastAsia"/>
          <w:b/>
          <w:sz w:val="32"/>
          <w:szCs w:val="32"/>
        </w:rPr>
        <w:t>（1</w:t>
      </w:r>
      <w:r w:rsidRPr="00C86C46">
        <w:rPr>
          <w:rFonts w:ascii="仿宋" w:eastAsia="仿宋" w:hAnsi="仿宋"/>
          <w:b/>
          <w:sz w:val="32"/>
          <w:szCs w:val="32"/>
        </w:rPr>
        <w:t>）</w:t>
      </w:r>
      <w:r w:rsidR="00E2137C" w:rsidRPr="00C86C46">
        <w:rPr>
          <w:rFonts w:ascii="仿宋" w:eastAsia="仿宋" w:hAnsi="仿宋" w:hint="eastAsia"/>
          <w:b/>
          <w:sz w:val="32"/>
          <w:szCs w:val="32"/>
        </w:rPr>
        <w:t>住房改革支出（款）住房公积金（项）。</w:t>
      </w:r>
      <w:r w:rsidR="00E2137C">
        <w:rPr>
          <w:rFonts w:ascii="仿宋" w:eastAsia="仿宋" w:hAnsi="仿宋" w:hint="eastAsia"/>
          <w:sz w:val="32"/>
          <w:szCs w:val="32"/>
        </w:rPr>
        <w:t>年初预算734万元，决算支出733.61万元，完成年初预算的99.95%。决算数与年初预算数的差异原因：年终财政收回结余资金。</w:t>
      </w:r>
    </w:p>
    <w:p w:rsidR="00E2137C" w:rsidRDefault="00E2137C">
      <w:pPr>
        <w:autoSpaceDE w:val="0"/>
        <w:autoSpaceDN w:val="0"/>
        <w:spacing w:before="100" w:after="100" w:line="580" w:lineRule="atLeast"/>
        <w:ind w:firstLineChars="200" w:firstLine="643"/>
      </w:pPr>
      <w:r>
        <w:rPr>
          <w:rFonts w:ascii="楷体" w:eastAsia="楷体" w:hAnsi="楷体" w:hint="eastAsia"/>
          <w:b/>
          <w:bCs/>
          <w:sz w:val="32"/>
          <w:szCs w:val="32"/>
        </w:rPr>
        <w:t>（六）关于2021年度一般公共预算财政拨款基本支出决算情况说明</w:t>
      </w:r>
    </w:p>
    <w:p w:rsidR="00E2137C" w:rsidRPr="00C86C46" w:rsidRDefault="00817324">
      <w:pPr>
        <w:autoSpaceDE w:val="0"/>
        <w:autoSpaceDN w:val="0"/>
        <w:spacing w:before="100" w:after="100" w:line="580" w:lineRule="atLeast"/>
        <w:ind w:firstLine="600"/>
        <w:rPr>
          <w:rFonts w:ascii="仿宋" w:eastAsia="仿宋" w:hAnsi="仿宋"/>
          <w:color w:val="000000" w:themeColor="text1"/>
          <w:sz w:val="32"/>
          <w:szCs w:val="32"/>
        </w:rPr>
      </w:pPr>
      <w:r>
        <w:rPr>
          <w:rFonts w:ascii="仿宋" w:eastAsia="仿宋" w:hAnsi="仿宋" w:hint="eastAsia"/>
          <w:color w:val="000000" w:themeColor="text1"/>
          <w:sz w:val="32"/>
          <w:szCs w:val="32"/>
        </w:rPr>
        <w:t>本单位</w:t>
      </w:r>
      <w:r w:rsidR="00E2137C" w:rsidRPr="00C86C46">
        <w:rPr>
          <w:rFonts w:ascii="仿宋" w:eastAsia="仿宋" w:hAnsi="仿宋" w:hint="eastAsia"/>
          <w:color w:val="000000" w:themeColor="text1"/>
          <w:sz w:val="32"/>
          <w:szCs w:val="32"/>
        </w:rPr>
        <w:t>2021年度一般公共预算财政拨款基本支出842.70万元，其中：人员经费826.60万元，主要包括：离休费185.72万元，退休费469.17万元，抚恤金90.70万元，生活补助81.01万元，较上年增加91.57万元，主要原因是：我单位为公益二类事业单位，基本支出人员经费全部为离退休人员经费，2021年退休人员增加导致退休费增加；公用经费16.10万元，主要包括：福利费0.44万元，其他商品和服务支出15.66万元，较上年增加0.17万元，主要原因是：我单位为公益二类事业单位，基本支出人员经费全部为离退休人员经费，2021年退休人员增加导致公用经费增加。</w:t>
      </w:r>
    </w:p>
    <w:p w:rsidR="00E2137C" w:rsidRDefault="00E2137C">
      <w:pPr>
        <w:autoSpaceDE w:val="0"/>
        <w:autoSpaceDN w:val="0"/>
        <w:spacing w:before="100" w:after="100" w:line="580" w:lineRule="atLeast"/>
        <w:ind w:firstLine="600"/>
      </w:pPr>
      <w:r>
        <w:rPr>
          <w:rFonts w:ascii="楷体" w:eastAsia="楷体" w:hAnsi="楷体" w:hint="eastAsia"/>
          <w:b/>
          <w:bCs/>
          <w:sz w:val="32"/>
          <w:szCs w:val="32"/>
        </w:rPr>
        <w:t>（七）关于2021年度财政拨款</w:t>
      </w:r>
      <w:r>
        <w:rPr>
          <w:rFonts w:ascii="Times New Roman" w:hAnsi="Times New Roman" w:cs="Times New Roman"/>
          <w:b/>
          <w:bCs/>
          <w:sz w:val="32"/>
          <w:szCs w:val="32"/>
        </w:rPr>
        <w:t>“</w:t>
      </w:r>
      <w:r>
        <w:rPr>
          <w:rFonts w:ascii="楷体" w:eastAsia="楷体" w:hAnsi="楷体" w:hint="eastAsia"/>
          <w:b/>
          <w:bCs/>
          <w:sz w:val="32"/>
          <w:szCs w:val="32"/>
        </w:rPr>
        <w:t>三公</w:t>
      </w:r>
      <w:r>
        <w:rPr>
          <w:rFonts w:ascii="Times New Roman" w:hAnsi="Times New Roman" w:cs="Times New Roman"/>
          <w:b/>
          <w:bCs/>
          <w:sz w:val="32"/>
          <w:szCs w:val="32"/>
        </w:rPr>
        <w:t>”</w:t>
      </w:r>
      <w:r>
        <w:rPr>
          <w:rFonts w:ascii="楷体" w:eastAsia="楷体" w:hAnsi="楷体" w:hint="eastAsia"/>
          <w:b/>
          <w:bCs/>
          <w:sz w:val="32"/>
          <w:szCs w:val="32"/>
        </w:rPr>
        <w:t>经费支出决算情况说明</w:t>
      </w:r>
    </w:p>
    <w:p w:rsidR="00E2137C" w:rsidRPr="00C6150B" w:rsidRDefault="00E2137C">
      <w:pPr>
        <w:autoSpaceDE w:val="0"/>
        <w:autoSpaceDN w:val="0"/>
        <w:spacing w:before="100" w:after="100" w:line="580" w:lineRule="atLeast"/>
        <w:ind w:firstLine="600"/>
        <w:rPr>
          <w:rFonts w:ascii="仿宋" w:eastAsia="仿宋" w:hAnsi="仿宋"/>
          <w:color w:val="000000" w:themeColor="text1"/>
        </w:rPr>
      </w:pPr>
      <w:r w:rsidRPr="00C6150B">
        <w:rPr>
          <w:rFonts w:ascii="仿宋" w:eastAsia="仿宋" w:hAnsi="仿宋" w:hint="eastAsia"/>
          <w:color w:val="000000" w:themeColor="text1"/>
          <w:sz w:val="32"/>
          <w:szCs w:val="32"/>
        </w:rPr>
        <w:lastRenderedPageBreak/>
        <w:t>1、财政拨款</w:t>
      </w:r>
      <w:r w:rsidRPr="00C6150B">
        <w:rPr>
          <w:rFonts w:ascii="仿宋" w:eastAsia="仿宋" w:hAnsi="仿宋" w:cs="Times New Roman"/>
          <w:color w:val="000000" w:themeColor="text1"/>
          <w:sz w:val="32"/>
          <w:szCs w:val="32"/>
        </w:rPr>
        <w:t>“</w:t>
      </w:r>
      <w:r w:rsidRPr="00C6150B">
        <w:rPr>
          <w:rFonts w:ascii="仿宋" w:eastAsia="仿宋" w:hAnsi="仿宋" w:hint="eastAsia"/>
          <w:color w:val="000000" w:themeColor="text1"/>
          <w:sz w:val="32"/>
          <w:szCs w:val="32"/>
        </w:rPr>
        <w:t>三公</w:t>
      </w:r>
      <w:r w:rsidRPr="00C6150B">
        <w:rPr>
          <w:rFonts w:ascii="仿宋" w:eastAsia="仿宋" w:hAnsi="仿宋" w:cs="Times New Roman"/>
          <w:color w:val="000000" w:themeColor="text1"/>
          <w:sz w:val="32"/>
          <w:szCs w:val="32"/>
        </w:rPr>
        <w:t>”</w:t>
      </w:r>
      <w:r w:rsidRPr="00C6150B">
        <w:rPr>
          <w:rFonts w:ascii="仿宋" w:eastAsia="仿宋" w:hAnsi="仿宋" w:hint="eastAsia"/>
          <w:color w:val="000000" w:themeColor="text1"/>
          <w:sz w:val="32"/>
          <w:szCs w:val="32"/>
        </w:rPr>
        <w:t>经费支出决算总体情况说明</w:t>
      </w:r>
    </w:p>
    <w:p w:rsidR="00E2137C" w:rsidRPr="00C6150B" w:rsidRDefault="00817324">
      <w:pPr>
        <w:autoSpaceDE w:val="0"/>
        <w:autoSpaceDN w:val="0"/>
        <w:spacing w:before="100" w:after="100" w:line="580" w:lineRule="atLeast"/>
        <w:ind w:firstLine="600"/>
        <w:rPr>
          <w:rFonts w:ascii="仿宋" w:eastAsia="仿宋" w:hAnsi="仿宋"/>
          <w:color w:val="000000" w:themeColor="text1"/>
        </w:rPr>
      </w:pPr>
      <w:r>
        <w:rPr>
          <w:rFonts w:ascii="仿宋" w:eastAsia="仿宋" w:hAnsi="仿宋" w:hint="eastAsia"/>
          <w:color w:val="000000" w:themeColor="text1"/>
          <w:sz w:val="32"/>
          <w:szCs w:val="32"/>
        </w:rPr>
        <w:t>本单位</w:t>
      </w:r>
      <w:r w:rsidR="00E2137C" w:rsidRPr="00C6150B">
        <w:rPr>
          <w:rFonts w:ascii="仿宋" w:eastAsia="仿宋" w:hAnsi="仿宋" w:hint="eastAsia"/>
          <w:color w:val="000000" w:themeColor="text1"/>
          <w:sz w:val="32"/>
          <w:szCs w:val="32"/>
        </w:rPr>
        <w:t>2021年度财政拨款</w:t>
      </w:r>
      <w:r w:rsidR="00E2137C" w:rsidRPr="00C6150B">
        <w:rPr>
          <w:rFonts w:ascii="仿宋" w:eastAsia="仿宋" w:hAnsi="仿宋" w:cs="Times New Roman"/>
          <w:color w:val="000000" w:themeColor="text1"/>
          <w:sz w:val="32"/>
          <w:szCs w:val="32"/>
        </w:rPr>
        <w:t>“</w:t>
      </w:r>
      <w:r w:rsidR="00E2137C" w:rsidRPr="00C6150B">
        <w:rPr>
          <w:rFonts w:ascii="仿宋" w:eastAsia="仿宋" w:hAnsi="仿宋" w:hint="eastAsia"/>
          <w:color w:val="000000" w:themeColor="text1"/>
          <w:sz w:val="32"/>
          <w:szCs w:val="32"/>
        </w:rPr>
        <w:t>三公</w:t>
      </w:r>
      <w:r w:rsidR="00E2137C" w:rsidRPr="00C6150B">
        <w:rPr>
          <w:rFonts w:ascii="仿宋" w:eastAsia="仿宋" w:hAnsi="仿宋" w:cs="Times New Roman"/>
          <w:color w:val="000000" w:themeColor="text1"/>
          <w:sz w:val="32"/>
          <w:szCs w:val="32"/>
        </w:rPr>
        <w:t>”</w:t>
      </w:r>
      <w:r w:rsidR="00E2137C" w:rsidRPr="00C6150B">
        <w:rPr>
          <w:rFonts w:ascii="仿宋" w:eastAsia="仿宋" w:hAnsi="仿宋" w:hint="eastAsia"/>
          <w:color w:val="000000" w:themeColor="text1"/>
          <w:sz w:val="32"/>
          <w:szCs w:val="32"/>
        </w:rPr>
        <w:t>经费预算为110.80万元，支出决算为32.66万元，完成预算的29.48%，其中：因公出国（境）费预算为60.00万元，支出决算为0.00万元，完成预算的0.00%；公务用车购置及运行维护费预算为38.80万元，支出决算为30.52万元，完成预算的78.67%；公务接待费预算为12.00万元，支出决算为2.13万元，完成预算的17.79%。2021年度财政拨款</w:t>
      </w:r>
      <w:r w:rsidR="00E2137C" w:rsidRPr="00C6150B">
        <w:rPr>
          <w:rFonts w:ascii="仿宋" w:eastAsia="仿宋" w:hAnsi="仿宋" w:cs="Times New Roman"/>
          <w:color w:val="000000" w:themeColor="text1"/>
          <w:sz w:val="32"/>
          <w:szCs w:val="32"/>
        </w:rPr>
        <w:t>“</w:t>
      </w:r>
      <w:r w:rsidR="00E2137C" w:rsidRPr="00C6150B">
        <w:rPr>
          <w:rFonts w:ascii="仿宋" w:eastAsia="仿宋" w:hAnsi="仿宋" w:hint="eastAsia"/>
          <w:color w:val="000000" w:themeColor="text1"/>
          <w:sz w:val="32"/>
          <w:szCs w:val="32"/>
        </w:rPr>
        <w:t>三公</w:t>
      </w:r>
      <w:r w:rsidR="00E2137C" w:rsidRPr="00C6150B">
        <w:rPr>
          <w:rFonts w:ascii="仿宋" w:eastAsia="仿宋" w:hAnsi="仿宋" w:cs="Times New Roman"/>
          <w:color w:val="000000" w:themeColor="text1"/>
          <w:sz w:val="32"/>
          <w:szCs w:val="32"/>
        </w:rPr>
        <w:t>”</w:t>
      </w:r>
      <w:r w:rsidR="00E2137C" w:rsidRPr="00C6150B">
        <w:rPr>
          <w:rFonts w:ascii="仿宋" w:eastAsia="仿宋" w:hAnsi="仿宋" w:hint="eastAsia"/>
          <w:color w:val="000000" w:themeColor="text1"/>
          <w:sz w:val="32"/>
          <w:szCs w:val="32"/>
        </w:rPr>
        <w:t>经费支出决算与预算差异情况的原因：受疫情影响，因公出国（境）活动、公务用车购置及运行维护、公务接待活动取消或缩减；二是按照相关政策和规定，压减“三公”经费支出。</w:t>
      </w:r>
    </w:p>
    <w:p w:rsidR="00E2137C" w:rsidRPr="00C6150B" w:rsidRDefault="00E2137C">
      <w:pPr>
        <w:autoSpaceDE w:val="0"/>
        <w:autoSpaceDN w:val="0"/>
        <w:spacing w:before="100" w:after="100" w:line="580" w:lineRule="atLeast"/>
        <w:ind w:firstLine="600"/>
        <w:rPr>
          <w:rFonts w:ascii="仿宋" w:eastAsia="仿宋" w:hAnsi="仿宋"/>
          <w:color w:val="000000" w:themeColor="text1"/>
        </w:rPr>
      </w:pPr>
      <w:r w:rsidRPr="00C6150B">
        <w:rPr>
          <w:rFonts w:ascii="仿宋" w:eastAsia="仿宋" w:hAnsi="仿宋" w:hint="eastAsia"/>
          <w:color w:val="000000" w:themeColor="text1"/>
          <w:sz w:val="32"/>
          <w:szCs w:val="32"/>
        </w:rPr>
        <w:t>2、财政拨款</w:t>
      </w:r>
      <w:r w:rsidRPr="00C6150B">
        <w:rPr>
          <w:rFonts w:ascii="仿宋" w:eastAsia="仿宋" w:hAnsi="仿宋" w:cs="Times New Roman"/>
          <w:color w:val="000000" w:themeColor="text1"/>
          <w:sz w:val="32"/>
          <w:szCs w:val="32"/>
        </w:rPr>
        <w:t>“</w:t>
      </w:r>
      <w:r w:rsidRPr="00C6150B">
        <w:rPr>
          <w:rFonts w:ascii="仿宋" w:eastAsia="仿宋" w:hAnsi="仿宋" w:hint="eastAsia"/>
          <w:color w:val="000000" w:themeColor="text1"/>
          <w:sz w:val="32"/>
          <w:szCs w:val="32"/>
        </w:rPr>
        <w:t>三公</w:t>
      </w:r>
      <w:r w:rsidRPr="00C6150B">
        <w:rPr>
          <w:rFonts w:ascii="仿宋" w:eastAsia="仿宋" w:hAnsi="仿宋" w:cs="Times New Roman"/>
          <w:color w:val="000000" w:themeColor="text1"/>
          <w:sz w:val="32"/>
          <w:szCs w:val="32"/>
        </w:rPr>
        <w:t>”</w:t>
      </w:r>
      <w:r w:rsidRPr="00C6150B">
        <w:rPr>
          <w:rFonts w:ascii="仿宋" w:eastAsia="仿宋" w:hAnsi="仿宋" w:hint="eastAsia"/>
          <w:color w:val="000000" w:themeColor="text1"/>
          <w:sz w:val="32"/>
          <w:szCs w:val="32"/>
        </w:rPr>
        <w:t>经费支出决算具体情况说明</w:t>
      </w:r>
    </w:p>
    <w:p w:rsidR="00E2137C" w:rsidRPr="00C6150B" w:rsidRDefault="00817324">
      <w:pPr>
        <w:autoSpaceDE w:val="0"/>
        <w:autoSpaceDN w:val="0"/>
        <w:spacing w:before="100" w:after="100" w:line="580" w:lineRule="atLeast"/>
        <w:ind w:firstLine="600"/>
        <w:rPr>
          <w:rFonts w:ascii="仿宋" w:eastAsia="仿宋" w:hAnsi="仿宋"/>
          <w:color w:val="000000" w:themeColor="text1"/>
        </w:rPr>
      </w:pPr>
      <w:r>
        <w:rPr>
          <w:rFonts w:ascii="仿宋" w:eastAsia="仿宋" w:hAnsi="仿宋" w:hint="eastAsia"/>
          <w:color w:val="000000" w:themeColor="text1"/>
          <w:sz w:val="32"/>
          <w:szCs w:val="32"/>
        </w:rPr>
        <w:t>本单位</w:t>
      </w:r>
      <w:r w:rsidR="00E2137C" w:rsidRPr="00C6150B">
        <w:rPr>
          <w:rFonts w:ascii="仿宋" w:eastAsia="仿宋" w:hAnsi="仿宋" w:hint="eastAsia"/>
          <w:color w:val="000000" w:themeColor="text1"/>
          <w:sz w:val="32"/>
          <w:szCs w:val="32"/>
        </w:rPr>
        <w:t>2021年度财政拨款</w:t>
      </w:r>
      <w:r w:rsidR="00E2137C" w:rsidRPr="00C6150B">
        <w:rPr>
          <w:rFonts w:ascii="仿宋" w:eastAsia="仿宋" w:hAnsi="仿宋" w:cs="Times New Roman"/>
          <w:color w:val="000000" w:themeColor="text1"/>
          <w:sz w:val="32"/>
          <w:szCs w:val="32"/>
        </w:rPr>
        <w:t>“</w:t>
      </w:r>
      <w:r w:rsidR="00E2137C" w:rsidRPr="00C6150B">
        <w:rPr>
          <w:rFonts w:ascii="仿宋" w:eastAsia="仿宋" w:hAnsi="仿宋" w:hint="eastAsia"/>
          <w:color w:val="000000" w:themeColor="text1"/>
          <w:sz w:val="32"/>
          <w:szCs w:val="32"/>
        </w:rPr>
        <w:t>三公</w:t>
      </w:r>
      <w:r w:rsidR="00E2137C" w:rsidRPr="00C6150B">
        <w:rPr>
          <w:rFonts w:ascii="仿宋" w:eastAsia="仿宋" w:hAnsi="仿宋" w:cs="Times New Roman"/>
          <w:color w:val="000000" w:themeColor="text1"/>
          <w:sz w:val="32"/>
          <w:szCs w:val="32"/>
        </w:rPr>
        <w:t>”</w:t>
      </w:r>
      <w:r w:rsidR="00E2137C" w:rsidRPr="00C6150B">
        <w:rPr>
          <w:rFonts w:ascii="仿宋" w:eastAsia="仿宋" w:hAnsi="仿宋" w:hint="eastAsia"/>
          <w:color w:val="000000" w:themeColor="text1"/>
          <w:sz w:val="32"/>
          <w:szCs w:val="32"/>
        </w:rPr>
        <w:t>经费支出32.66万元，因公出国（境）费支出0.00万元，占</w:t>
      </w:r>
      <w:r w:rsidR="00E2137C" w:rsidRPr="00C6150B">
        <w:rPr>
          <w:rFonts w:ascii="仿宋" w:eastAsia="仿宋" w:hAnsi="仿宋" w:cs="Times New Roman"/>
          <w:color w:val="000000" w:themeColor="text1"/>
          <w:sz w:val="32"/>
          <w:szCs w:val="32"/>
        </w:rPr>
        <w:t>“</w:t>
      </w:r>
      <w:r w:rsidR="00E2137C" w:rsidRPr="00C6150B">
        <w:rPr>
          <w:rFonts w:ascii="仿宋" w:eastAsia="仿宋" w:hAnsi="仿宋" w:hint="eastAsia"/>
          <w:color w:val="000000" w:themeColor="text1"/>
          <w:sz w:val="32"/>
          <w:szCs w:val="32"/>
        </w:rPr>
        <w:t>三公</w:t>
      </w:r>
      <w:r w:rsidR="00E2137C" w:rsidRPr="00C6150B">
        <w:rPr>
          <w:rFonts w:ascii="仿宋" w:eastAsia="仿宋" w:hAnsi="仿宋" w:cs="Times New Roman"/>
          <w:color w:val="000000" w:themeColor="text1"/>
          <w:sz w:val="32"/>
          <w:szCs w:val="32"/>
        </w:rPr>
        <w:t>”</w:t>
      </w:r>
      <w:r w:rsidR="00E2137C" w:rsidRPr="00C6150B">
        <w:rPr>
          <w:rFonts w:ascii="仿宋" w:eastAsia="仿宋" w:hAnsi="仿宋" w:hint="eastAsia"/>
          <w:color w:val="000000" w:themeColor="text1"/>
          <w:sz w:val="32"/>
          <w:szCs w:val="32"/>
        </w:rPr>
        <w:t>经费支出的0.00%；公务用车购置及运行维护费支出30.52万元，占93.46%；公务接待费支出2.13万元，占6.54%。具体情况如下：</w:t>
      </w:r>
    </w:p>
    <w:p w:rsidR="00E2137C" w:rsidRPr="00C6150B" w:rsidRDefault="00E2137C">
      <w:pPr>
        <w:autoSpaceDE w:val="0"/>
        <w:autoSpaceDN w:val="0"/>
        <w:spacing w:before="100" w:after="100" w:line="580" w:lineRule="atLeast"/>
        <w:ind w:firstLine="600"/>
        <w:rPr>
          <w:rFonts w:ascii="仿宋" w:eastAsia="仿宋" w:hAnsi="仿宋"/>
          <w:color w:val="000000" w:themeColor="text1"/>
          <w:sz w:val="32"/>
          <w:szCs w:val="32"/>
        </w:rPr>
      </w:pPr>
      <w:r w:rsidRPr="00C6150B">
        <w:rPr>
          <w:rFonts w:ascii="仿宋" w:eastAsia="仿宋" w:hAnsi="仿宋" w:hint="eastAsia"/>
          <w:b/>
          <w:bCs/>
          <w:color w:val="000000" w:themeColor="text1"/>
          <w:sz w:val="32"/>
          <w:szCs w:val="32"/>
        </w:rPr>
        <w:t>因公出国（境）费支出</w:t>
      </w:r>
      <w:r w:rsidRPr="00C6150B">
        <w:rPr>
          <w:rFonts w:ascii="仿宋" w:eastAsia="仿宋" w:hAnsi="仿宋" w:hint="eastAsia"/>
          <w:b/>
          <w:color w:val="000000" w:themeColor="text1"/>
          <w:sz w:val="32"/>
          <w:szCs w:val="32"/>
        </w:rPr>
        <w:t>0.00万元。</w:t>
      </w:r>
      <w:r w:rsidRPr="00C6150B">
        <w:rPr>
          <w:rFonts w:ascii="仿宋" w:eastAsia="仿宋" w:hAnsi="仿宋" w:hint="eastAsia"/>
          <w:color w:val="000000" w:themeColor="text1"/>
          <w:sz w:val="32"/>
          <w:szCs w:val="32"/>
        </w:rPr>
        <w:t>全年因公出国（境）团组0个，累计0人次。本年无出国事项。较上年减少10.64万元，主要原因是因疫情影响，无出国事项。</w:t>
      </w:r>
    </w:p>
    <w:p w:rsidR="00E2137C" w:rsidRPr="00C6150B" w:rsidRDefault="00E2137C">
      <w:pPr>
        <w:autoSpaceDE w:val="0"/>
        <w:autoSpaceDN w:val="0"/>
        <w:spacing w:before="100" w:after="100" w:line="580" w:lineRule="atLeast"/>
        <w:ind w:firstLine="600"/>
        <w:rPr>
          <w:rFonts w:ascii="仿宋" w:eastAsia="仿宋" w:hAnsi="仿宋"/>
          <w:color w:val="000000" w:themeColor="text1"/>
        </w:rPr>
      </w:pPr>
      <w:r w:rsidRPr="00C6150B">
        <w:rPr>
          <w:rFonts w:ascii="仿宋" w:eastAsia="仿宋" w:hAnsi="仿宋" w:hint="eastAsia"/>
          <w:b/>
          <w:bCs/>
          <w:color w:val="000000" w:themeColor="text1"/>
          <w:sz w:val="32"/>
          <w:szCs w:val="32"/>
        </w:rPr>
        <w:lastRenderedPageBreak/>
        <w:t>公务用车购置及运行维护费支出</w:t>
      </w:r>
      <w:r w:rsidRPr="00C6150B">
        <w:rPr>
          <w:rFonts w:ascii="仿宋" w:eastAsia="仿宋" w:hAnsi="仿宋" w:hint="eastAsia"/>
          <w:b/>
          <w:color w:val="000000" w:themeColor="text1"/>
          <w:sz w:val="32"/>
          <w:szCs w:val="32"/>
        </w:rPr>
        <w:t>30.52万元。</w:t>
      </w:r>
      <w:r w:rsidRPr="00C6150B">
        <w:rPr>
          <w:rFonts w:ascii="仿宋" w:eastAsia="仿宋" w:hAnsi="仿宋" w:hint="eastAsia"/>
          <w:color w:val="000000" w:themeColor="text1"/>
          <w:sz w:val="32"/>
          <w:szCs w:val="32"/>
        </w:rPr>
        <w:t>其中：公务用车购置支出0.00万元，无车辆购置支出，车均购置费0.00万元，公务用车购置支出较上年无变化，本年无车辆购置计划。公务用车运行维护费支出30.52万元，用于公务车的保险费、公务用车维修费保养、燃油费等，车均运维费2.18万元，公务用车运行维护费支出较上年增加6.48万元，主要原因是车辆年久失修，本年产生大修费用，财政拨款开支的公务用车保有量为14辆。</w:t>
      </w:r>
    </w:p>
    <w:p w:rsidR="00E2137C" w:rsidRPr="00C6150B" w:rsidRDefault="00E2137C">
      <w:pPr>
        <w:autoSpaceDE w:val="0"/>
        <w:autoSpaceDN w:val="0"/>
        <w:spacing w:before="100" w:after="100" w:line="580" w:lineRule="atLeast"/>
        <w:ind w:firstLine="600"/>
        <w:rPr>
          <w:rFonts w:ascii="仿宋" w:eastAsia="仿宋" w:hAnsi="仿宋"/>
          <w:color w:val="000000" w:themeColor="text1"/>
        </w:rPr>
      </w:pPr>
      <w:r w:rsidRPr="00C6150B">
        <w:rPr>
          <w:rFonts w:ascii="仿宋" w:eastAsia="仿宋" w:hAnsi="仿宋" w:hint="eastAsia"/>
          <w:b/>
          <w:bCs/>
          <w:color w:val="000000" w:themeColor="text1"/>
          <w:sz w:val="32"/>
          <w:szCs w:val="32"/>
        </w:rPr>
        <w:t>公务接待费支出</w:t>
      </w:r>
      <w:r w:rsidRPr="00C6150B">
        <w:rPr>
          <w:rFonts w:ascii="仿宋" w:eastAsia="仿宋" w:hAnsi="仿宋" w:hint="eastAsia"/>
          <w:b/>
          <w:color w:val="000000" w:themeColor="text1"/>
          <w:sz w:val="32"/>
          <w:szCs w:val="32"/>
        </w:rPr>
        <w:t>2.13万元。</w:t>
      </w:r>
      <w:r w:rsidRPr="00C6150B">
        <w:rPr>
          <w:rFonts w:ascii="仿宋" w:eastAsia="仿宋" w:hAnsi="仿宋" w:hint="eastAsia"/>
          <w:color w:val="000000" w:themeColor="text1"/>
          <w:sz w:val="32"/>
          <w:szCs w:val="32"/>
        </w:rPr>
        <w:t>其中：国内公务接待费2.13万元，接待23批次，共接待195人次。主要用于一是各考察团队接待费；二是各剧目专家研讨、业务考核接待费；三是洽谈演出事宜接待费。国（境）外接待费0.00万元，接待0批次，共接待0人次。本年无国（境）外接待业务。公务接待费支出较上年增加0.63万元，主要原因是本年业务量较上年增加，接待费随之增大。</w:t>
      </w:r>
    </w:p>
    <w:p w:rsidR="00E2137C" w:rsidRPr="00966CD0" w:rsidRDefault="00E2137C">
      <w:pPr>
        <w:autoSpaceDE w:val="0"/>
        <w:autoSpaceDN w:val="0"/>
        <w:spacing w:before="100" w:after="100" w:line="580" w:lineRule="atLeast"/>
        <w:ind w:firstLine="600"/>
        <w:rPr>
          <w:rFonts w:ascii="仿宋" w:eastAsia="仿宋" w:hAnsi="仿宋"/>
          <w:color w:val="FF0000"/>
          <w:sz w:val="32"/>
          <w:szCs w:val="32"/>
        </w:rPr>
      </w:pPr>
    </w:p>
    <w:p w:rsidR="00E2137C" w:rsidRDefault="00E2137C">
      <w:pPr>
        <w:autoSpaceDE w:val="0"/>
        <w:autoSpaceDN w:val="0"/>
        <w:spacing w:before="100" w:after="100" w:line="580" w:lineRule="atLeast"/>
        <w:ind w:firstLine="600"/>
      </w:pPr>
      <w:r>
        <w:rPr>
          <w:rFonts w:ascii="楷体" w:eastAsia="楷体" w:hAnsi="楷体" w:hint="eastAsia"/>
          <w:b/>
          <w:bCs/>
          <w:sz w:val="32"/>
          <w:szCs w:val="32"/>
        </w:rPr>
        <w:t>（八）关于2021年度政府性基金预算财政拨款支出决算情况说明</w:t>
      </w:r>
    </w:p>
    <w:p w:rsidR="00E2137C" w:rsidRPr="00966CD0" w:rsidRDefault="00E2137C">
      <w:pPr>
        <w:autoSpaceDE w:val="0"/>
        <w:autoSpaceDN w:val="0"/>
        <w:spacing w:before="100" w:beforeAutospacing="1" w:after="100" w:afterAutospacing="1" w:line="560" w:lineRule="atLeast"/>
        <w:ind w:firstLine="640"/>
        <w:rPr>
          <w:rFonts w:ascii="仿宋" w:eastAsia="仿宋" w:hAnsi="仿宋"/>
          <w:sz w:val="32"/>
          <w:szCs w:val="32"/>
        </w:rPr>
      </w:pPr>
      <w:r w:rsidRPr="00966CD0">
        <w:rPr>
          <w:rFonts w:ascii="仿宋" w:eastAsia="仿宋" w:hAnsi="仿宋" w:hint="eastAsia"/>
          <w:sz w:val="32"/>
          <w:szCs w:val="32"/>
        </w:rPr>
        <w:t>本年无政府性基金预算拨款支出</w:t>
      </w:r>
    </w:p>
    <w:p w:rsidR="00E2137C" w:rsidRDefault="00E2137C">
      <w:pPr>
        <w:autoSpaceDE w:val="0"/>
        <w:autoSpaceDN w:val="0"/>
        <w:spacing w:before="100" w:after="100" w:line="580" w:lineRule="atLeast"/>
        <w:ind w:firstLine="600"/>
      </w:pPr>
      <w:r>
        <w:rPr>
          <w:rFonts w:ascii="楷体" w:eastAsia="楷体" w:hAnsi="楷体" w:hint="eastAsia"/>
          <w:b/>
          <w:bCs/>
          <w:sz w:val="32"/>
          <w:szCs w:val="32"/>
        </w:rPr>
        <w:t>（九）关于2021年度国有资本经营预算支出决算情况说明</w:t>
      </w:r>
    </w:p>
    <w:p w:rsidR="00E2137C" w:rsidRPr="00966CD0" w:rsidRDefault="00E2137C">
      <w:pPr>
        <w:autoSpaceDE w:val="0"/>
        <w:autoSpaceDN w:val="0"/>
        <w:spacing w:before="100" w:after="100" w:line="580" w:lineRule="atLeast"/>
        <w:ind w:firstLine="600"/>
        <w:rPr>
          <w:rFonts w:ascii="仿宋" w:eastAsia="仿宋" w:hAnsi="仿宋"/>
          <w:sz w:val="32"/>
          <w:szCs w:val="32"/>
        </w:rPr>
      </w:pPr>
      <w:r w:rsidRPr="00966CD0">
        <w:rPr>
          <w:rFonts w:ascii="仿宋" w:eastAsia="仿宋" w:hAnsi="仿宋" w:hint="eastAsia"/>
          <w:sz w:val="32"/>
          <w:szCs w:val="32"/>
        </w:rPr>
        <w:lastRenderedPageBreak/>
        <w:t>本年无国有资本经营预算拨款支出</w:t>
      </w:r>
    </w:p>
    <w:p w:rsidR="00E2137C" w:rsidRDefault="00E2137C">
      <w:pPr>
        <w:autoSpaceDE w:val="0"/>
        <w:autoSpaceDN w:val="0"/>
        <w:spacing w:before="100" w:after="100" w:line="580" w:lineRule="atLeast"/>
        <w:ind w:firstLine="600"/>
      </w:pPr>
      <w:r>
        <w:rPr>
          <w:rFonts w:ascii="楷体" w:eastAsia="楷体" w:hAnsi="楷体" w:hint="eastAsia"/>
          <w:b/>
          <w:bCs/>
          <w:sz w:val="32"/>
          <w:szCs w:val="32"/>
        </w:rPr>
        <w:t>（十）关于2021年度项目支出决算情况说明</w:t>
      </w:r>
    </w:p>
    <w:p w:rsidR="00E2137C" w:rsidRPr="00C6150B" w:rsidRDefault="00E2137C">
      <w:pPr>
        <w:autoSpaceDE w:val="0"/>
        <w:autoSpaceDN w:val="0"/>
        <w:spacing w:before="100" w:beforeAutospacing="1" w:after="100" w:afterAutospacing="1" w:line="560" w:lineRule="atLeast"/>
        <w:ind w:firstLine="640"/>
        <w:rPr>
          <w:rFonts w:ascii="仿宋" w:eastAsia="仿宋" w:hAnsi="仿宋"/>
          <w:color w:val="000000" w:themeColor="text1"/>
        </w:rPr>
      </w:pPr>
      <w:r w:rsidRPr="00C6150B">
        <w:rPr>
          <w:rFonts w:ascii="仿宋" w:eastAsia="仿宋" w:hAnsi="仿宋" w:hint="eastAsia"/>
          <w:color w:val="000000" w:themeColor="text1"/>
          <w:sz w:val="32"/>
          <w:szCs w:val="32"/>
        </w:rPr>
        <w:t>2021年，单位预算安排项目</w:t>
      </w:r>
      <w:r w:rsidR="00EB78EC">
        <w:rPr>
          <w:rFonts w:ascii="仿宋" w:eastAsia="仿宋" w:hAnsi="仿宋" w:hint="eastAsia"/>
          <w:color w:val="000000" w:themeColor="text1"/>
          <w:sz w:val="32"/>
          <w:szCs w:val="32"/>
        </w:rPr>
        <w:t>21</w:t>
      </w:r>
      <w:r w:rsidRPr="00C6150B">
        <w:rPr>
          <w:rFonts w:ascii="仿宋" w:eastAsia="仿宋" w:hAnsi="仿宋" w:hint="eastAsia"/>
          <w:color w:val="000000" w:themeColor="text1"/>
          <w:sz w:val="32"/>
          <w:szCs w:val="32"/>
        </w:rPr>
        <w:t>个，实施项目</w:t>
      </w:r>
      <w:r w:rsidR="00EB78EC">
        <w:rPr>
          <w:rFonts w:ascii="仿宋" w:eastAsia="仿宋" w:hAnsi="仿宋" w:hint="eastAsia"/>
          <w:color w:val="000000" w:themeColor="text1"/>
          <w:sz w:val="32"/>
          <w:szCs w:val="32"/>
        </w:rPr>
        <w:t>21</w:t>
      </w:r>
      <w:r w:rsidRPr="00C6150B">
        <w:rPr>
          <w:rFonts w:ascii="仿宋" w:eastAsia="仿宋" w:hAnsi="仿宋" w:hint="eastAsia"/>
          <w:color w:val="000000" w:themeColor="text1"/>
          <w:sz w:val="32"/>
          <w:szCs w:val="32"/>
        </w:rPr>
        <w:t>个，完成项目</w:t>
      </w:r>
      <w:r w:rsidR="00EB78EC">
        <w:rPr>
          <w:rFonts w:ascii="仿宋" w:eastAsia="仿宋" w:hAnsi="仿宋" w:hint="eastAsia"/>
          <w:color w:val="000000" w:themeColor="text1"/>
          <w:sz w:val="32"/>
          <w:szCs w:val="32"/>
        </w:rPr>
        <w:t>21</w:t>
      </w:r>
      <w:r w:rsidRPr="00C6150B">
        <w:rPr>
          <w:rFonts w:ascii="仿宋" w:eastAsia="仿宋" w:hAnsi="仿宋" w:hint="eastAsia"/>
          <w:color w:val="000000" w:themeColor="text1"/>
          <w:sz w:val="32"/>
          <w:szCs w:val="32"/>
        </w:rPr>
        <w:t>个，项目支出总金额22,009.24万元。财政本年拨款金额21,588.64万元，财政拨款结转结余826.43万元，其他资金结转结余2,127.20万元。</w:t>
      </w:r>
    </w:p>
    <w:p w:rsidR="00E2137C" w:rsidRDefault="00E2137C">
      <w:pPr>
        <w:autoSpaceDE w:val="0"/>
        <w:autoSpaceDN w:val="0"/>
        <w:spacing w:before="100" w:after="100" w:line="580" w:lineRule="atLeast"/>
        <w:ind w:firstLine="600"/>
      </w:pPr>
      <w:r>
        <w:rPr>
          <w:rFonts w:ascii="楷体" w:eastAsia="楷体" w:hAnsi="楷体" w:hint="eastAsia"/>
          <w:b/>
          <w:bCs/>
          <w:sz w:val="32"/>
          <w:szCs w:val="32"/>
        </w:rPr>
        <w:t>（十一）政府采购支出情况</w:t>
      </w:r>
    </w:p>
    <w:p w:rsidR="00E2137C" w:rsidRPr="00C6150B" w:rsidRDefault="00817324">
      <w:pPr>
        <w:autoSpaceDE w:val="0"/>
        <w:autoSpaceDN w:val="0"/>
        <w:spacing w:before="100" w:after="100" w:line="580" w:lineRule="atLeast"/>
        <w:ind w:firstLine="600"/>
        <w:rPr>
          <w:rFonts w:ascii="仿宋" w:eastAsia="仿宋" w:hAnsi="仿宋"/>
          <w:color w:val="000000" w:themeColor="text1"/>
        </w:rPr>
      </w:pPr>
      <w:r>
        <w:rPr>
          <w:rFonts w:ascii="仿宋" w:eastAsia="仿宋" w:hAnsi="仿宋" w:hint="eastAsia"/>
          <w:color w:val="000000" w:themeColor="text1"/>
          <w:sz w:val="32"/>
          <w:szCs w:val="32"/>
        </w:rPr>
        <w:t>本单位</w:t>
      </w:r>
      <w:r w:rsidR="00E2137C" w:rsidRPr="00C6150B">
        <w:rPr>
          <w:rFonts w:ascii="仿宋" w:eastAsia="仿宋" w:hAnsi="仿宋" w:hint="eastAsia"/>
          <w:color w:val="000000" w:themeColor="text1"/>
          <w:sz w:val="32"/>
          <w:szCs w:val="32"/>
        </w:rPr>
        <w:t>2021年度政府采购支出合计5,109.48万元，其中：政府采购货物支出3,327.16万元，比2020年增加2,491.56万元，增长298.18%，主要原因是：一是政府采购范围扩大，二是舞台设施设备更新；政府采购工程支出125.16万元，比2020年增加98.98万元，增长378.09%，主要原因是：一是政府采购范围扩大，二是消防工程、舞台设备等维修（护）工程增加；政府采购服务支出1,657.16万元，比2020年增加32.97万元，增长2.03%，主要原因是：政府采购范围扩大。授予中小企业合同金额5,102.97万元，占政府采购支出合同总额的99.87%。其中：授予小微企业合同金额2,113.41万元，占政府采购支出合同总额的41.36%。</w:t>
      </w:r>
    </w:p>
    <w:p w:rsidR="00E2137C" w:rsidRDefault="00E2137C">
      <w:pPr>
        <w:autoSpaceDE w:val="0"/>
        <w:autoSpaceDN w:val="0"/>
        <w:spacing w:before="100" w:after="100" w:line="580" w:lineRule="atLeast"/>
        <w:ind w:firstLine="600"/>
      </w:pPr>
      <w:r>
        <w:rPr>
          <w:rFonts w:ascii="楷体" w:eastAsia="楷体" w:hAnsi="楷体" w:hint="eastAsia"/>
          <w:b/>
          <w:bCs/>
          <w:sz w:val="32"/>
          <w:szCs w:val="32"/>
        </w:rPr>
        <w:t>（十二）机关运行经费支出情况</w:t>
      </w:r>
    </w:p>
    <w:p w:rsidR="00E2137C" w:rsidRDefault="00E2137C">
      <w:pPr>
        <w:autoSpaceDE w:val="0"/>
        <w:autoSpaceDN w:val="0"/>
        <w:spacing w:before="100" w:after="100" w:line="580" w:lineRule="atLeast"/>
        <w:ind w:firstLine="600"/>
        <w:rPr>
          <w:rFonts w:ascii="仿宋" w:eastAsia="仿宋" w:hAnsi="仿宋"/>
          <w:sz w:val="32"/>
          <w:szCs w:val="32"/>
        </w:rPr>
      </w:pPr>
      <w:r w:rsidRPr="00966CD0">
        <w:rPr>
          <w:rFonts w:ascii="仿宋" w:eastAsia="仿宋" w:hAnsi="仿宋" w:hint="eastAsia"/>
          <w:sz w:val="32"/>
          <w:szCs w:val="32"/>
        </w:rPr>
        <w:t>我单位为公益二类事业单位，</w:t>
      </w:r>
      <w:r w:rsidR="00613310">
        <w:rPr>
          <w:rFonts w:ascii="仿宋" w:eastAsia="仿宋" w:hAnsi="仿宋" w:hint="eastAsia"/>
          <w:sz w:val="32"/>
          <w:szCs w:val="32"/>
        </w:rPr>
        <w:t>2021年</w:t>
      </w:r>
      <w:r w:rsidRPr="00966CD0">
        <w:rPr>
          <w:rFonts w:ascii="仿宋" w:eastAsia="仿宋" w:hAnsi="仿宋" w:hint="eastAsia"/>
          <w:sz w:val="32"/>
          <w:szCs w:val="32"/>
        </w:rPr>
        <w:t>无机关运行保障任务，无机关运行经费支出。</w:t>
      </w:r>
    </w:p>
    <w:p w:rsidR="00613310" w:rsidRDefault="00613310" w:rsidP="00613310">
      <w:pPr>
        <w:ind w:firstLineChars="200" w:firstLine="640"/>
      </w:pPr>
      <w:r>
        <w:rPr>
          <w:rFonts w:ascii="仿宋_GB2312" w:eastAsia="仿宋_GB2312" w:hAnsi="仿宋_GB2312" w:hint="eastAsia"/>
          <w:sz w:val="32"/>
          <w:szCs w:val="32"/>
        </w:rPr>
        <w:lastRenderedPageBreak/>
        <w:t>我单位</w:t>
      </w:r>
      <w:r>
        <w:rPr>
          <w:rFonts w:ascii="仿宋_GB2312" w:eastAsia="仿宋_GB2312" w:hint="eastAsia"/>
          <w:sz w:val="32"/>
          <w:szCs w:val="32"/>
        </w:rPr>
        <w:t>2021年度场馆运行经费支出2049万元，比2020年增加0万元，增长0%。与上年无变化。</w:t>
      </w:r>
    </w:p>
    <w:p w:rsidR="00E2137C" w:rsidRDefault="00E2137C">
      <w:pPr>
        <w:autoSpaceDE w:val="0"/>
        <w:autoSpaceDN w:val="0"/>
        <w:spacing w:before="100" w:after="100" w:line="580" w:lineRule="atLeast"/>
        <w:ind w:firstLine="600"/>
      </w:pPr>
      <w:r>
        <w:rPr>
          <w:rFonts w:ascii="楷体" w:eastAsia="楷体" w:hAnsi="楷体" w:hint="eastAsia"/>
          <w:b/>
          <w:bCs/>
          <w:sz w:val="32"/>
          <w:szCs w:val="32"/>
        </w:rPr>
        <w:t>（十三）国有资产占用情况</w:t>
      </w:r>
    </w:p>
    <w:p w:rsidR="00E2137C" w:rsidRPr="00966CD0" w:rsidRDefault="00E2137C">
      <w:pPr>
        <w:autoSpaceDE w:val="0"/>
        <w:autoSpaceDN w:val="0"/>
        <w:spacing w:before="100" w:after="100" w:line="580" w:lineRule="atLeast"/>
        <w:ind w:firstLine="600"/>
        <w:rPr>
          <w:rFonts w:ascii="仿宋" w:eastAsia="仿宋" w:hAnsi="仿宋"/>
          <w:sz w:val="32"/>
          <w:szCs w:val="32"/>
        </w:rPr>
      </w:pPr>
      <w:r w:rsidRPr="00C6150B">
        <w:rPr>
          <w:rFonts w:ascii="仿宋" w:eastAsia="仿宋" w:hAnsi="仿宋" w:hint="eastAsia"/>
          <w:color w:val="000000" w:themeColor="text1"/>
          <w:sz w:val="32"/>
          <w:szCs w:val="32"/>
        </w:rPr>
        <w:t>截至2021年12月31</w:t>
      </w:r>
      <w:r w:rsidR="00817324">
        <w:rPr>
          <w:rFonts w:ascii="仿宋" w:eastAsia="仿宋" w:hAnsi="仿宋" w:hint="eastAsia"/>
          <w:color w:val="000000" w:themeColor="text1"/>
          <w:sz w:val="32"/>
          <w:szCs w:val="32"/>
        </w:rPr>
        <w:t>日，本单位</w:t>
      </w:r>
      <w:r w:rsidRPr="00C6150B">
        <w:rPr>
          <w:rFonts w:ascii="仿宋" w:eastAsia="仿宋" w:hAnsi="仿宋" w:hint="eastAsia"/>
          <w:color w:val="000000" w:themeColor="text1"/>
          <w:sz w:val="32"/>
          <w:szCs w:val="32"/>
        </w:rPr>
        <w:t>共有车辆14辆，其中，副部（省）级及以上领导用车0辆、主要领导干部用车0辆、机要通信用车8辆、应急保障用车0辆、执法执勤用车0辆、特种专业技术用车6辆、离退休干部用车0辆、其他用车0辆；单位价值50万元以上通用设备5台（套），主要是演出宣传用Led大屏4个，智能化演出业务协作平台1个，比2020年无</w:t>
      </w:r>
      <w:r w:rsidRPr="00966CD0">
        <w:rPr>
          <w:rFonts w:ascii="仿宋" w:eastAsia="仿宋" w:hAnsi="仿宋" w:hint="eastAsia"/>
          <w:sz w:val="32"/>
          <w:szCs w:val="32"/>
        </w:rPr>
        <w:t>变化</w:t>
      </w:r>
      <w:r w:rsidRPr="00966CD0">
        <w:rPr>
          <w:rFonts w:ascii="仿宋" w:eastAsia="仿宋" w:hAnsi="仿宋" w:hint="eastAsia"/>
          <w:color w:val="000000"/>
          <w:sz w:val="32"/>
          <w:szCs w:val="32"/>
        </w:rPr>
        <w:t>；</w:t>
      </w:r>
      <w:r w:rsidRPr="00966CD0">
        <w:rPr>
          <w:rFonts w:ascii="仿宋" w:eastAsia="仿宋" w:hAnsi="仿宋" w:hint="eastAsia"/>
          <w:sz w:val="32"/>
          <w:szCs w:val="32"/>
        </w:rPr>
        <w:t>单位价值100</w:t>
      </w:r>
      <w:r w:rsidRPr="00C6150B">
        <w:rPr>
          <w:rFonts w:ascii="仿宋" w:eastAsia="仿宋" w:hAnsi="仿宋" w:hint="eastAsia"/>
          <w:color w:val="000000" w:themeColor="text1"/>
          <w:sz w:val="32"/>
          <w:szCs w:val="32"/>
        </w:rPr>
        <w:t>万元以上专用设备21台（套），主要是演出用三角钢琴3台，舞台机械设备12个，灯光音响放映设备6个及演出宣传用Led大屏1个，比2020年减少1.00台，主</w:t>
      </w:r>
      <w:r w:rsidRPr="00966CD0">
        <w:rPr>
          <w:rFonts w:ascii="仿宋" w:eastAsia="仿宋" w:hAnsi="仿宋" w:hint="eastAsia"/>
          <w:color w:val="000000"/>
          <w:sz w:val="32"/>
          <w:szCs w:val="32"/>
        </w:rPr>
        <w:t>要原因是</w:t>
      </w:r>
      <w:r w:rsidRPr="00966CD0">
        <w:rPr>
          <w:rFonts w:ascii="仿宋" w:eastAsia="仿宋" w:hAnsi="仿宋" w:hint="eastAsia"/>
          <w:sz w:val="32"/>
          <w:szCs w:val="32"/>
        </w:rPr>
        <w:t>报废舞台反声罩所致。</w:t>
      </w:r>
    </w:p>
    <w:p w:rsidR="00E2137C" w:rsidRPr="00966CD0" w:rsidRDefault="00E2137C">
      <w:pPr>
        <w:autoSpaceDE w:val="0"/>
        <w:autoSpaceDN w:val="0"/>
        <w:spacing w:before="100" w:after="100" w:line="580" w:lineRule="atLeast"/>
        <w:ind w:firstLine="600"/>
        <w:rPr>
          <w:rFonts w:ascii="黑体" w:eastAsia="黑体" w:hAnsi="黑体"/>
        </w:rPr>
      </w:pPr>
      <w:r w:rsidRPr="00966CD0">
        <w:rPr>
          <w:rFonts w:ascii="黑体" w:eastAsia="黑体" w:hAnsi="黑体" w:hint="eastAsia"/>
          <w:bCs/>
          <w:sz w:val="32"/>
          <w:szCs w:val="32"/>
        </w:rPr>
        <w:t>三、预算绩效评价工作开展情况</w:t>
      </w:r>
    </w:p>
    <w:p w:rsidR="00E2137C" w:rsidRPr="00966CD0" w:rsidRDefault="00E2137C">
      <w:pPr>
        <w:autoSpaceDE w:val="0"/>
        <w:autoSpaceDN w:val="0"/>
        <w:spacing w:before="100" w:beforeAutospacing="1" w:after="100" w:afterAutospacing="1" w:line="580" w:lineRule="atLeast"/>
        <w:ind w:firstLine="600"/>
        <w:rPr>
          <w:rFonts w:ascii="华文楷体" w:eastAsia="华文楷体" w:hAnsi="华文楷体"/>
          <w:b/>
        </w:rPr>
      </w:pPr>
      <w:r w:rsidRPr="00966CD0">
        <w:rPr>
          <w:rFonts w:ascii="华文楷体" w:eastAsia="华文楷体" w:hAnsi="华文楷体" w:hint="eastAsia"/>
          <w:b/>
          <w:sz w:val="32"/>
          <w:szCs w:val="32"/>
        </w:rPr>
        <w:t>（一）预算绩效管理工作开展情况</w:t>
      </w:r>
    </w:p>
    <w:p w:rsidR="00E2137C" w:rsidRPr="00E2137C" w:rsidRDefault="00E2137C" w:rsidP="00682E61">
      <w:pPr>
        <w:autoSpaceDE w:val="0"/>
        <w:autoSpaceDN w:val="0"/>
        <w:spacing w:before="100" w:beforeAutospacing="1" w:after="100" w:afterAutospacing="1" w:line="580" w:lineRule="atLeast"/>
        <w:ind w:firstLine="600"/>
        <w:rPr>
          <w:rFonts w:ascii="仿宋" w:eastAsia="仿宋" w:hAnsi="仿宋"/>
          <w:color w:val="000000" w:themeColor="text1"/>
          <w:sz w:val="32"/>
          <w:szCs w:val="32"/>
        </w:rPr>
      </w:pPr>
      <w:r w:rsidRPr="00E2137C">
        <w:rPr>
          <w:rFonts w:ascii="仿宋" w:eastAsia="仿宋" w:hAnsi="仿宋" w:hint="eastAsia"/>
          <w:color w:val="000000" w:themeColor="text1"/>
          <w:sz w:val="32"/>
          <w:szCs w:val="32"/>
        </w:rPr>
        <w:t>根据预算绩效管理要求，我单位组织对2021年度一般公共预算项目支出全面开展绩效自评，其中，一级项目17个，共涉及资金21,588.64万元，占一般公共预算项目支出总额的100%（必须达到100%）；政府性基金预算项目0个，共涉及资金0万元，占应纳入绩效自评的政府性基金预算项目支出总额的100%；</w:t>
      </w:r>
    </w:p>
    <w:p w:rsidR="00E2137C" w:rsidRDefault="00E2137C">
      <w:pPr>
        <w:ind w:firstLine="660"/>
        <w:rPr>
          <w:rFonts w:ascii="仿宋" w:eastAsia="仿宋" w:hAnsi="仿宋"/>
          <w:color w:val="000000" w:themeColor="text1"/>
          <w:sz w:val="32"/>
          <w:szCs w:val="32"/>
        </w:rPr>
      </w:pPr>
      <w:r w:rsidRPr="00E2137C">
        <w:rPr>
          <w:rFonts w:ascii="仿宋" w:eastAsia="仿宋" w:hAnsi="仿宋" w:hint="eastAsia"/>
          <w:color w:val="000000" w:themeColor="text1"/>
          <w:sz w:val="32"/>
          <w:szCs w:val="32"/>
        </w:rPr>
        <w:lastRenderedPageBreak/>
        <w:t>组织对</w:t>
      </w:r>
      <w:r w:rsidRPr="00E2137C">
        <w:rPr>
          <w:rFonts w:ascii="仿宋" w:eastAsia="仿宋" w:hAnsi="仿宋" w:cs="Times New Roman" w:hint="eastAsia"/>
          <w:color w:val="000000" w:themeColor="text1"/>
          <w:sz w:val="32"/>
          <w:szCs w:val="32"/>
        </w:rPr>
        <w:t>“文化强区和民族文化建设专项项目”</w:t>
      </w:r>
      <w:r w:rsidRPr="00E2137C">
        <w:rPr>
          <w:rFonts w:ascii="仿宋" w:eastAsia="仿宋" w:hAnsi="仿宋" w:hint="eastAsia"/>
          <w:color w:val="000000" w:themeColor="text1"/>
          <w:sz w:val="32"/>
          <w:szCs w:val="32"/>
        </w:rPr>
        <w:t>等1个项目开展了部门评价，涉及一般公共预算支出</w:t>
      </w:r>
      <w:r w:rsidR="00C6150B">
        <w:rPr>
          <w:rFonts w:ascii="仿宋" w:eastAsia="仿宋" w:hAnsi="仿宋" w:hint="eastAsia"/>
          <w:color w:val="000000" w:themeColor="text1"/>
          <w:sz w:val="32"/>
          <w:szCs w:val="32"/>
        </w:rPr>
        <w:t>1</w:t>
      </w:r>
      <w:r w:rsidR="004B116F">
        <w:rPr>
          <w:rFonts w:ascii="仿宋" w:eastAsia="仿宋" w:hAnsi="仿宋" w:hint="eastAsia"/>
          <w:color w:val="000000" w:themeColor="text1"/>
          <w:sz w:val="32"/>
          <w:szCs w:val="32"/>
        </w:rPr>
        <w:t>,</w:t>
      </w:r>
      <w:r w:rsidR="00C6150B">
        <w:rPr>
          <w:rFonts w:ascii="仿宋" w:eastAsia="仿宋" w:hAnsi="仿宋" w:hint="eastAsia"/>
          <w:color w:val="000000" w:themeColor="text1"/>
          <w:sz w:val="32"/>
          <w:szCs w:val="32"/>
        </w:rPr>
        <w:t>070.19</w:t>
      </w:r>
      <w:r w:rsidRPr="00E2137C">
        <w:rPr>
          <w:rFonts w:ascii="仿宋" w:eastAsia="仿宋" w:hAnsi="仿宋" w:hint="eastAsia"/>
          <w:color w:val="000000" w:themeColor="text1"/>
          <w:sz w:val="32"/>
          <w:szCs w:val="32"/>
        </w:rPr>
        <w:t>万元，政府性基金支出0万元</w:t>
      </w:r>
      <w:r w:rsidR="004B116F">
        <w:rPr>
          <w:rFonts w:ascii="仿宋" w:eastAsia="仿宋" w:hAnsi="仿宋" w:hint="eastAsia"/>
          <w:color w:val="000000" w:themeColor="text1"/>
          <w:sz w:val="32"/>
          <w:szCs w:val="32"/>
        </w:rPr>
        <w:t>,从评价结果上来看，在自治区艺术创作和精品生产、公益性演出、艺术人才培养、设备更新等方面起到了积极作用</w:t>
      </w:r>
      <w:r w:rsidRPr="00E2137C">
        <w:rPr>
          <w:rFonts w:ascii="仿宋" w:eastAsia="仿宋" w:hAnsi="仿宋" w:hint="eastAsia"/>
          <w:color w:val="000000" w:themeColor="text1"/>
          <w:sz w:val="32"/>
          <w:szCs w:val="32"/>
        </w:rPr>
        <w:t>。其中，对</w:t>
      </w:r>
      <w:r w:rsidRPr="00E2137C">
        <w:rPr>
          <w:rFonts w:ascii="仿宋" w:eastAsia="仿宋" w:hAnsi="仿宋" w:cs="Times New Roman" w:hint="eastAsia"/>
          <w:color w:val="000000" w:themeColor="text1"/>
          <w:sz w:val="32"/>
          <w:szCs w:val="32"/>
        </w:rPr>
        <w:t>“舞剧《骑兵》项目”</w:t>
      </w:r>
      <w:r w:rsidRPr="00E2137C">
        <w:rPr>
          <w:rFonts w:ascii="仿宋" w:eastAsia="仿宋" w:hAnsi="仿宋" w:hint="eastAsia"/>
          <w:color w:val="000000" w:themeColor="text1"/>
          <w:sz w:val="32"/>
          <w:szCs w:val="32"/>
        </w:rPr>
        <w:t xml:space="preserve">、 </w:t>
      </w:r>
      <w:r w:rsidRPr="00E2137C">
        <w:rPr>
          <w:rFonts w:ascii="仿宋" w:eastAsia="仿宋" w:hAnsi="仿宋" w:cs="Times New Roman" w:hint="eastAsia"/>
          <w:color w:val="000000" w:themeColor="text1"/>
          <w:sz w:val="32"/>
          <w:szCs w:val="32"/>
        </w:rPr>
        <w:t>“旅游发展专项项目” “文化强区和民族文化建设专项项目”</w:t>
      </w:r>
      <w:r w:rsidRPr="00E2137C">
        <w:rPr>
          <w:rFonts w:ascii="仿宋" w:eastAsia="仿宋" w:hAnsi="仿宋" w:hint="eastAsia"/>
          <w:color w:val="000000" w:themeColor="text1"/>
          <w:sz w:val="32"/>
          <w:szCs w:val="32"/>
        </w:rPr>
        <w:t>等项目分别委托相关第三方机构开展绩效评价。从评价情况来看，以上项目</w:t>
      </w:r>
      <w:r w:rsidRPr="00E2137C">
        <w:rPr>
          <w:rFonts w:ascii="仿宋" w:eastAsia="仿宋" w:hAnsi="仿宋" w:cs="Times New Roman" w:hint="eastAsia"/>
          <w:color w:val="000000" w:themeColor="text1"/>
          <w:sz w:val="32"/>
          <w:szCs w:val="32"/>
        </w:rPr>
        <w:t>支出均按年初目标完成，绩效级别评定为良好。</w:t>
      </w:r>
    </w:p>
    <w:p w:rsidR="00E2137C" w:rsidRPr="002A151E" w:rsidRDefault="00E2137C">
      <w:pPr>
        <w:autoSpaceDE w:val="0"/>
        <w:autoSpaceDN w:val="0"/>
        <w:spacing w:before="100" w:beforeAutospacing="1" w:after="100" w:afterAutospacing="1" w:line="580" w:lineRule="atLeast"/>
        <w:ind w:firstLine="600"/>
        <w:rPr>
          <w:rFonts w:ascii="华文楷体" w:eastAsia="华文楷体" w:hAnsi="华文楷体"/>
          <w:b/>
          <w:sz w:val="32"/>
          <w:szCs w:val="32"/>
        </w:rPr>
      </w:pPr>
      <w:r w:rsidRPr="002A151E">
        <w:rPr>
          <w:rFonts w:ascii="华文楷体" w:eastAsia="华文楷体" w:hAnsi="华文楷体" w:hint="eastAsia"/>
          <w:b/>
          <w:sz w:val="32"/>
          <w:szCs w:val="32"/>
        </w:rPr>
        <w:t>（二）部门决算中项目绩效自评结果</w:t>
      </w:r>
    </w:p>
    <w:p w:rsidR="00E2137C" w:rsidRPr="00C6150B" w:rsidRDefault="00E2137C">
      <w:pPr>
        <w:autoSpaceDE w:val="0"/>
        <w:autoSpaceDN w:val="0"/>
        <w:spacing w:before="100" w:beforeAutospacing="1" w:after="100" w:afterAutospacing="1" w:line="580" w:lineRule="atLeast"/>
        <w:ind w:firstLine="600"/>
        <w:rPr>
          <w:rFonts w:ascii="仿宋" w:eastAsia="仿宋" w:hAnsi="仿宋"/>
          <w:color w:val="000000" w:themeColor="text1"/>
          <w:sz w:val="32"/>
          <w:szCs w:val="32"/>
        </w:rPr>
      </w:pPr>
      <w:r w:rsidRPr="00C6150B">
        <w:rPr>
          <w:rFonts w:ascii="仿宋" w:eastAsia="仿宋" w:hAnsi="仿宋" w:hint="eastAsia"/>
          <w:color w:val="000000" w:themeColor="text1"/>
          <w:sz w:val="32"/>
          <w:szCs w:val="32"/>
        </w:rPr>
        <w:t>我院今年在部门决算中反映</w:t>
      </w:r>
      <w:r w:rsidRPr="00C6150B">
        <w:rPr>
          <w:rFonts w:ascii="仿宋" w:eastAsia="仿宋" w:hAnsi="仿宋" w:cs="Times New Roman" w:hint="eastAsia"/>
          <w:color w:val="000000" w:themeColor="text1"/>
          <w:sz w:val="32"/>
          <w:szCs w:val="32"/>
        </w:rPr>
        <w:t>“定项补助项目”、“文化场馆运转保障项目”、“艺术发展专项项目”、“业务用房及专用设备运行维护费”、</w:t>
      </w:r>
      <w:r w:rsidRPr="00C6150B">
        <w:rPr>
          <w:rFonts w:ascii="仿宋" w:eastAsia="仿宋" w:hAnsi="仿宋" w:hint="eastAsia"/>
          <w:color w:val="000000" w:themeColor="text1"/>
          <w:sz w:val="32"/>
          <w:szCs w:val="32"/>
        </w:rPr>
        <w:t>“</w:t>
      </w:r>
      <w:r w:rsidRPr="00C6150B">
        <w:rPr>
          <w:rFonts w:ascii="仿宋" w:eastAsia="仿宋" w:hAnsi="仿宋" w:cs="Times New Roman" w:hint="eastAsia"/>
          <w:color w:val="000000" w:themeColor="text1"/>
          <w:sz w:val="32"/>
          <w:szCs w:val="32"/>
        </w:rPr>
        <w:t>乌兰恰特与保利剧院合营项目”、“交响乐《旗帜》项目”、“京剧团人才培养项目”、“杂技团设备更新项目”、“党史教育系列短剧项目”、“文化强区和民族文化建设专项项目”、“旅游发展专项项目”、“舞剧《骑兵》参评少数民族文艺会演项目”、“舞剧《骑兵》演出设备经费”、“舞剧《骑兵》赴成都展演项目”、“舞剧《骑兵》项目”、“草原英才项目”、“达日玛同志专场音乐会项目”</w:t>
      </w:r>
      <w:r w:rsidRPr="00C6150B">
        <w:rPr>
          <w:rFonts w:ascii="仿宋" w:eastAsia="仿宋" w:hAnsi="仿宋" w:hint="eastAsia"/>
          <w:color w:val="000000" w:themeColor="text1"/>
          <w:sz w:val="32"/>
          <w:szCs w:val="32"/>
        </w:rPr>
        <w:t>等17个一般公共预算项目</w:t>
      </w:r>
      <w:r w:rsidR="001F06C2" w:rsidRPr="00C6150B">
        <w:rPr>
          <w:rFonts w:ascii="仿宋" w:eastAsia="仿宋" w:hAnsi="仿宋" w:hint="eastAsia"/>
          <w:color w:val="000000" w:themeColor="text1"/>
          <w:sz w:val="32"/>
          <w:szCs w:val="32"/>
        </w:rPr>
        <w:t>。</w:t>
      </w:r>
    </w:p>
    <w:p w:rsidR="00E2137C" w:rsidRPr="00C6150B" w:rsidRDefault="00E2137C">
      <w:pPr>
        <w:autoSpaceDE w:val="0"/>
        <w:autoSpaceDN w:val="0"/>
        <w:spacing w:before="100" w:beforeAutospacing="1" w:after="100" w:afterAutospacing="1" w:line="580" w:lineRule="atLeast"/>
        <w:ind w:firstLineChars="200" w:firstLine="640"/>
        <w:rPr>
          <w:rFonts w:ascii="仿宋" w:eastAsia="仿宋" w:hAnsi="仿宋"/>
          <w:color w:val="000000" w:themeColor="text1"/>
          <w:sz w:val="32"/>
          <w:szCs w:val="32"/>
        </w:rPr>
      </w:pPr>
      <w:r w:rsidRPr="00C6150B">
        <w:rPr>
          <w:rFonts w:ascii="仿宋" w:eastAsia="仿宋" w:hAnsi="仿宋" w:cs="Times New Roman"/>
          <w:color w:val="000000" w:themeColor="text1"/>
          <w:sz w:val="32"/>
          <w:szCs w:val="32"/>
        </w:rPr>
        <w:lastRenderedPageBreak/>
        <w:t>1.</w:t>
      </w:r>
      <w:r w:rsidRPr="00C6150B">
        <w:rPr>
          <w:rFonts w:ascii="仿宋" w:eastAsia="仿宋" w:hAnsi="仿宋" w:cs="Times New Roman" w:hint="eastAsia"/>
          <w:color w:val="000000" w:themeColor="text1"/>
          <w:sz w:val="32"/>
          <w:szCs w:val="32"/>
        </w:rPr>
        <w:t>定项补助</w:t>
      </w:r>
      <w:r w:rsidRPr="00C6150B">
        <w:rPr>
          <w:rFonts w:ascii="仿宋" w:eastAsia="仿宋" w:hAnsi="仿宋" w:hint="eastAsia"/>
          <w:color w:val="000000" w:themeColor="text1"/>
          <w:sz w:val="32"/>
          <w:szCs w:val="32"/>
        </w:rPr>
        <w:t>项目自评综述：根据年初设定的绩效目标，项目自评得分92分。全年预算数为13</w:t>
      </w:r>
      <w:r w:rsidR="00347629" w:rsidRPr="00C6150B">
        <w:rPr>
          <w:rFonts w:ascii="仿宋" w:eastAsia="仿宋" w:hAnsi="仿宋" w:hint="eastAsia"/>
          <w:color w:val="000000" w:themeColor="text1"/>
          <w:sz w:val="32"/>
          <w:szCs w:val="32"/>
        </w:rPr>
        <w:t>,</w:t>
      </w:r>
      <w:r w:rsidRPr="00C6150B">
        <w:rPr>
          <w:rFonts w:ascii="仿宋" w:eastAsia="仿宋" w:hAnsi="仿宋" w:hint="eastAsia"/>
          <w:color w:val="000000" w:themeColor="text1"/>
          <w:sz w:val="32"/>
          <w:szCs w:val="32"/>
        </w:rPr>
        <w:t>366万元，执行数为</w:t>
      </w:r>
      <w:r w:rsidRPr="00C6150B">
        <w:rPr>
          <w:rFonts w:ascii="仿宋" w:eastAsia="仿宋" w:hAnsi="仿宋" w:hint="eastAsia"/>
          <w:bCs/>
          <w:color w:val="000000" w:themeColor="text1"/>
          <w:sz w:val="32"/>
          <w:szCs w:val="32"/>
        </w:rPr>
        <w:t>13</w:t>
      </w:r>
      <w:r w:rsidR="00347629" w:rsidRPr="00C6150B">
        <w:rPr>
          <w:rFonts w:ascii="仿宋" w:eastAsia="仿宋" w:hAnsi="仿宋" w:hint="eastAsia"/>
          <w:bCs/>
          <w:color w:val="000000" w:themeColor="text1"/>
          <w:sz w:val="32"/>
          <w:szCs w:val="32"/>
        </w:rPr>
        <w:t>,</w:t>
      </w:r>
      <w:r w:rsidRPr="00C6150B">
        <w:rPr>
          <w:rFonts w:ascii="仿宋" w:eastAsia="仿宋" w:hAnsi="仿宋" w:hint="eastAsia"/>
          <w:bCs/>
          <w:color w:val="000000" w:themeColor="text1"/>
          <w:sz w:val="32"/>
          <w:szCs w:val="32"/>
        </w:rPr>
        <w:t>360.19</w:t>
      </w:r>
      <w:r w:rsidRPr="00C6150B">
        <w:rPr>
          <w:rFonts w:ascii="仿宋" w:eastAsia="仿宋" w:hAnsi="仿宋" w:hint="eastAsia"/>
          <w:color w:val="000000" w:themeColor="text1"/>
          <w:sz w:val="32"/>
          <w:szCs w:val="32"/>
        </w:rPr>
        <w:t>万元，完成预算的99.96%。项目绩效目标完成情况：</w:t>
      </w:r>
      <w:r w:rsidR="00613310">
        <w:rPr>
          <w:rFonts w:ascii="仿宋" w:eastAsia="仿宋" w:hAnsi="仿宋" w:hint="eastAsia"/>
          <w:color w:val="000000" w:themeColor="text1"/>
          <w:sz w:val="32"/>
          <w:szCs w:val="32"/>
        </w:rPr>
        <w:t>该项目主要用于</w:t>
      </w:r>
      <w:r w:rsidR="00613310" w:rsidRPr="00613310">
        <w:rPr>
          <w:rFonts w:ascii="仿宋" w:eastAsia="仿宋" w:hAnsi="仿宋" w:hint="eastAsia"/>
          <w:color w:val="000000" w:themeColor="text1"/>
          <w:sz w:val="32"/>
          <w:szCs w:val="32"/>
        </w:rPr>
        <w:t>创作、演出、推广具有草原文化特色的艺术作品。发展舞剧、蒙古剧、歌剧、音乐剧、交响乐、民乐、歌舞、曲艺、二人台艺术形式。完成国家和自治区重大文艺活动、公益性演出和对外文化交流任务。在艺术创作、演出经营、剧场管理、人才培训、舞美服务等方面发挥引领和示范作用。保障人员工资、福利及日常公用经费支出</w:t>
      </w:r>
      <w:r w:rsidR="00613310">
        <w:rPr>
          <w:rFonts w:ascii="仿宋" w:eastAsia="仿宋" w:hAnsi="仿宋" w:hint="eastAsia"/>
          <w:color w:val="000000" w:themeColor="text1"/>
          <w:sz w:val="32"/>
          <w:szCs w:val="32"/>
        </w:rPr>
        <w:t>等</w:t>
      </w:r>
      <w:r w:rsidR="00613310" w:rsidRPr="00613310">
        <w:rPr>
          <w:rFonts w:ascii="仿宋" w:eastAsia="仿宋" w:hAnsi="仿宋" w:hint="eastAsia"/>
          <w:color w:val="000000" w:themeColor="text1"/>
          <w:sz w:val="32"/>
          <w:szCs w:val="32"/>
        </w:rPr>
        <w:t>。</w:t>
      </w:r>
      <w:r w:rsidRPr="00C6150B">
        <w:rPr>
          <w:rFonts w:ascii="仿宋" w:eastAsia="仿宋" w:hAnsi="仿宋" w:hint="eastAsia"/>
          <w:color w:val="000000" w:themeColor="text1"/>
          <w:sz w:val="32"/>
          <w:szCs w:val="32"/>
        </w:rPr>
        <w:t>该项目产出指标、效益指标核心绩效指标完成情况良好。</w:t>
      </w:r>
    </w:p>
    <w:tbl>
      <w:tblPr>
        <w:tblW w:w="7620" w:type="dxa"/>
        <w:tblInd w:w="93" w:type="dxa"/>
        <w:tblLook w:val="04A0"/>
      </w:tblPr>
      <w:tblGrid>
        <w:gridCol w:w="460"/>
        <w:gridCol w:w="500"/>
        <w:gridCol w:w="1060"/>
        <w:gridCol w:w="220"/>
        <w:gridCol w:w="700"/>
        <w:gridCol w:w="660"/>
        <w:gridCol w:w="740"/>
        <w:gridCol w:w="980"/>
        <w:gridCol w:w="720"/>
        <w:gridCol w:w="700"/>
        <w:gridCol w:w="880"/>
      </w:tblGrid>
      <w:tr w:rsidR="00E2137C">
        <w:trPr>
          <w:trHeight w:val="405"/>
        </w:trPr>
        <w:tc>
          <w:tcPr>
            <w:tcW w:w="7620" w:type="dxa"/>
            <w:gridSpan w:val="11"/>
            <w:vAlign w:val="center"/>
            <w:hideMark/>
          </w:tcPr>
          <w:p w:rsidR="00E2137C" w:rsidRDefault="00E2137C">
            <w:pPr>
              <w:jc w:val="center"/>
              <w:rPr>
                <w:b/>
                <w:bCs/>
                <w:color w:val="000000"/>
                <w:sz w:val="32"/>
                <w:szCs w:val="32"/>
              </w:rPr>
            </w:pPr>
            <w:r>
              <w:rPr>
                <w:rFonts w:hint="eastAsia"/>
                <w:b/>
                <w:bCs/>
                <w:color w:val="000000"/>
                <w:sz w:val="32"/>
                <w:szCs w:val="32"/>
              </w:rPr>
              <w:t>项目支出绩效自评表</w:t>
            </w:r>
          </w:p>
        </w:tc>
      </w:tr>
      <w:tr w:rsidR="00E2137C">
        <w:trPr>
          <w:trHeight w:val="285"/>
        </w:trPr>
        <w:tc>
          <w:tcPr>
            <w:tcW w:w="7620" w:type="dxa"/>
            <w:gridSpan w:val="11"/>
            <w:tcBorders>
              <w:top w:val="nil"/>
              <w:left w:val="nil"/>
              <w:bottom w:val="single" w:sz="8" w:space="0" w:color="auto"/>
              <w:right w:val="nil"/>
            </w:tcBorders>
            <w:hideMark/>
          </w:tcPr>
          <w:p w:rsidR="00E2137C" w:rsidRDefault="00E2137C">
            <w:pPr>
              <w:jc w:val="center"/>
              <w:rPr>
                <w:color w:val="000000"/>
                <w:sz w:val="22"/>
                <w:szCs w:val="22"/>
              </w:rPr>
            </w:pPr>
            <w:r>
              <w:rPr>
                <w:rFonts w:hint="eastAsia"/>
                <w:color w:val="000000"/>
                <w:sz w:val="22"/>
                <w:szCs w:val="22"/>
              </w:rPr>
              <w:t>（2021年度）</w:t>
            </w:r>
          </w:p>
        </w:tc>
      </w:tr>
      <w:tr w:rsidR="00E2137C">
        <w:trPr>
          <w:trHeight w:val="240"/>
        </w:trPr>
        <w:tc>
          <w:tcPr>
            <w:tcW w:w="960" w:type="dxa"/>
            <w:gridSpan w:val="2"/>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项目名称</w:t>
            </w:r>
          </w:p>
        </w:tc>
        <w:tc>
          <w:tcPr>
            <w:tcW w:w="6660" w:type="dxa"/>
            <w:gridSpan w:val="9"/>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定项补助</w:t>
            </w:r>
          </w:p>
        </w:tc>
      </w:tr>
      <w:tr w:rsidR="00E2137C">
        <w:trPr>
          <w:trHeight w:val="240"/>
        </w:trPr>
        <w:tc>
          <w:tcPr>
            <w:tcW w:w="960" w:type="dxa"/>
            <w:gridSpan w:val="2"/>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主管部门</w:t>
            </w:r>
          </w:p>
        </w:tc>
        <w:tc>
          <w:tcPr>
            <w:tcW w:w="3380" w:type="dxa"/>
            <w:gridSpan w:val="5"/>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自治区文化和旅游厅</w:t>
            </w:r>
          </w:p>
        </w:tc>
        <w:tc>
          <w:tcPr>
            <w:tcW w:w="980" w:type="dxa"/>
            <w:tcBorders>
              <w:top w:val="nil"/>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实施单位</w:t>
            </w:r>
          </w:p>
        </w:tc>
        <w:tc>
          <w:tcPr>
            <w:tcW w:w="2300" w:type="dxa"/>
            <w:gridSpan w:val="3"/>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内蒙古艺术剧院</w:t>
            </w:r>
          </w:p>
        </w:tc>
      </w:tr>
      <w:tr w:rsidR="00E2137C">
        <w:trPr>
          <w:trHeight w:val="240"/>
        </w:trPr>
        <w:tc>
          <w:tcPr>
            <w:tcW w:w="960" w:type="dxa"/>
            <w:gridSpan w:val="2"/>
            <w:tcBorders>
              <w:top w:val="single" w:sz="8" w:space="0" w:color="auto"/>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项目资金</w:t>
            </w:r>
          </w:p>
        </w:tc>
        <w:tc>
          <w:tcPr>
            <w:tcW w:w="1280" w:type="dxa"/>
            <w:gridSpan w:val="2"/>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年初预算数</w:t>
            </w:r>
          </w:p>
        </w:tc>
        <w:tc>
          <w:tcPr>
            <w:tcW w:w="1400" w:type="dxa"/>
            <w:gridSpan w:val="2"/>
            <w:tcBorders>
              <w:top w:val="single" w:sz="8" w:space="0" w:color="auto"/>
              <w:left w:val="nil"/>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全年预算数</w:t>
            </w:r>
          </w:p>
        </w:tc>
        <w:tc>
          <w:tcPr>
            <w:tcW w:w="980" w:type="dxa"/>
            <w:vAlign w:val="center"/>
            <w:hideMark/>
          </w:tcPr>
          <w:p w:rsidR="00E2137C" w:rsidRDefault="00E2137C">
            <w:pPr>
              <w:jc w:val="center"/>
              <w:rPr>
                <w:color w:val="000000"/>
                <w:sz w:val="12"/>
                <w:szCs w:val="12"/>
              </w:rPr>
            </w:pPr>
            <w:r>
              <w:rPr>
                <w:rFonts w:hint="eastAsia"/>
                <w:color w:val="000000"/>
                <w:sz w:val="12"/>
                <w:szCs w:val="12"/>
              </w:rPr>
              <w:t>全年执行数</w:t>
            </w:r>
          </w:p>
        </w:tc>
        <w:tc>
          <w:tcPr>
            <w:tcW w:w="720" w:type="dxa"/>
            <w:tcBorders>
              <w:top w:val="nil"/>
              <w:left w:val="single" w:sz="8" w:space="0" w:color="auto"/>
              <w:bottom w:val="nil"/>
              <w:right w:val="nil"/>
            </w:tcBorders>
            <w:vAlign w:val="center"/>
            <w:hideMark/>
          </w:tcPr>
          <w:p w:rsidR="00E2137C" w:rsidRDefault="00E2137C">
            <w:pPr>
              <w:jc w:val="center"/>
              <w:rPr>
                <w:color w:val="000000"/>
                <w:sz w:val="12"/>
                <w:szCs w:val="12"/>
              </w:rPr>
            </w:pPr>
            <w:r>
              <w:rPr>
                <w:rFonts w:hint="eastAsia"/>
                <w:color w:val="000000"/>
                <w:sz w:val="12"/>
                <w:szCs w:val="12"/>
              </w:rPr>
              <w:t>分值</w:t>
            </w:r>
          </w:p>
        </w:tc>
        <w:tc>
          <w:tcPr>
            <w:tcW w:w="70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执行率</w:t>
            </w:r>
          </w:p>
        </w:tc>
        <w:tc>
          <w:tcPr>
            <w:tcW w:w="88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得分</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（万元）</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both"/>
              <w:rPr>
                <w:color w:val="000000"/>
                <w:sz w:val="12"/>
                <w:szCs w:val="12"/>
              </w:rPr>
            </w:pPr>
            <w:r>
              <w:rPr>
                <w:rFonts w:hint="eastAsia"/>
                <w:color w:val="000000"/>
                <w:sz w:val="12"/>
                <w:szCs w:val="12"/>
              </w:rPr>
              <w:t>年度资金总额</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13366</w:t>
            </w:r>
          </w:p>
        </w:tc>
        <w:tc>
          <w:tcPr>
            <w:tcW w:w="140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13366</w:t>
            </w:r>
          </w:p>
        </w:tc>
        <w:tc>
          <w:tcPr>
            <w:tcW w:w="98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13360.19</w:t>
            </w:r>
          </w:p>
        </w:tc>
        <w:tc>
          <w:tcPr>
            <w:tcW w:w="72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c>
          <w:tcPr>
            <w:tcW w:w="70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99.96%</w:t>
            </w:r>
          </w:p>
        </w:tc>
        <w:tc>
          <w:tcPr>
            <w:tcW w:w="88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其中：当年财政拨款</w:t>
            </w:r>
          </w:p>
        </w:tc>
        <w:tc>
          <w:tcPr>
            <w:tcW w:w="700" w:type="dxa"/>
            <w:tcBorders>
              <w:top w:val="nil"/>
              <w:left w:val="single" w:sz="8" w:space="0" w:color="auto"/>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13366</w:t>
            </w:r>
          </w:p>
        </w:tc>
        <w:tc>
          <w:tcPr>
            <w:tcW w:w="140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13366</w:t>
            </w:r>
          </w:p>
        </w:tc>
        <w:tc>
          <w:tcPr>
            <w:tcW w:w="98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13360.19</w:t>
            </w:r>
          </w:p>
        </w:tc>
        <w:tc>
          <w:tcPr>
            <w:tcW w:w="72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c>
          <w:tcPr>
            <w:tcW w:w="70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99.96%</w:t>
            </w:r>
          </w:p>
        </w:tc>
        <w:tc>
          <w:tcPr>
            <w:tcW w:w="88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 xml:space="preserve">      上年结转资金</w:t>
            </w:r>
          </w:p>
        </w:tc>
        <w:tc>
          <w:tcPr>
            <w:tcW w:w="700" w:type="dxa"/>
            <w:tcBorders>
              <w:top w:val="nil"/>
              <w:left w:val="single" w:sz="8" w:space="0" w:color="auto"/>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140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 xml:space="preserve">　</w:t>
            </w:r>
          </w:p>
        </w:tc>
        <w:tc>
          <w:tcPr>
            <w:tcW w:w="98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72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70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88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r>
      <w:tr w:rsidR="00E2137C">
        <w:trPr>
          <w:trHeight w:val="240"/>
        </w:trPr>
        <w:tc>
          <w:tcPr>
            <w:tcW w:w="960" w:type="dxa"/>
            <w:gridSpan w:val="2"/>
            <w:tcBorders>
              <w:top w:val="nil"/>
              <w:left w:val="single" w:sz="8" w:space="0" w:color="auto"/>
              <w:bottom w:val="single" w:sz="8" w:space="0" w:color="auto"/>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 xml:space="preserve">  其他资金</w:t>
            </w:r>
          </w:p>
        </w:tc>
        <w:tc>
          <w:tcPr>
            <w:tcW w:w="700" w:type="dxa"/>
            <w:tcBorders>
              <w:top w:val="nil"/>
              <w:left w:val="single" w:sz="8" w:space="0" w:color="auto"/>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400" w:type="dxa"/>
            <w:gridSpan w:val="2"/>
            <w:tcBorders>
              <w:top w:val="single" w:sz="8" w:space="0" w:color="auto"/>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9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w:t>
            </w:r>
          </w:p>
        </w:tc>
      </w:tr>
      <w:tr w:rsidR="00E2137C">
        <w:trPr>
          <w:trHeight w:val="240"/>
        </w:trPr>
        <w:tc>
          <w:tcPr>
            <w:tcW w:w="46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年度总体目标</w:t>
            </w:r>
          </w:p>
        </w:tc>
        <w:tc>
          <w:tcPr>
            <w:tcW w:w="3880" w:type="dxa"/>
            <w:gridSpan w:val="6"/>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预期目标</w:t>
            </w:r>
          </w:p>
        </w:tc>
        <w:tc>
          <w:tcPr>
            <w:tcW w:w="3280" w:type="dxa"/>
            <w:gridSpan w:val="4"/>
            <w:tcBorders>
              <w:top w:val="nil"/>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实际完成情况</w:t>
            </w:r>
          </w:p>
        </w:tc>
      </w:tr>
      <w:tr w:rsidR="00E2137C">
        <w:trPr>
          <w:trHeight w:val="1200"/>
        </w:trPr>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3880" w:type="dxa"/>
            <w:gridSpan w:val="6"/>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创作、演出、推广具有草原文化特色的艺术作品。发展舞剧、蒙古剧、歌剧、音乐剧、交响乐、民乐、歌舞、曲艺、二人台艺术形式。完成国家和自治区重大文艺活动、公益性演出和对外文化交流任务。在艺术创作、演出经营、剧场管理、人才培训、舞美服务等方面发挥引领和示范作用。保障人员工资、福利及日常公用经费支出。</w:t>
            </w:r>
          </w:p>
        </w:tc>
        <w:tc>
          <w:tcPr>
            <w:tcW w:w="3280" w:type="dxa"/>
            <w:gridSpan w:val="4"/>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创作、演出、推广具有草原文化特色的艺术作品。发展舞剧、蒙古剧、歌剧、音乐剧、交响乐、民乐、歌舞、曲艺、二人台艺术形式。完成国家和自治区重大文艺活动、公益性演出和对外文化交流任务。在艺术创作、演出经营、剧场管理、人才培训、舞美服务等方面发挥引领和示范作用。保障人员工资、福利及日常公用经费支出。</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绩</w:t>
            </w:r>
          </w:p>
        </w:tc>
        <w:tc>
          <w:tcPr>
            <w:tcW w:w="50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一级指标</w:t>
            </w:r>
          </w:p>
        </w:tc>
        <w:tc>
          <w:tcPr>
            <w:tcW w:w="106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二级指标</w:t>
            </w:r>
          </w:p>
        </w:tc>
        <w:tc>
          <w:tcPr>
            <w:tcW w:w="1580"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三级指标</w:t>
            </w:r>
          </w:p>
        </w:tc>
        <w:tc>
          <w:tcPr>
            <w:tcW w:w="74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年度指标值</w:t>
            </w:r>
          </w:p>
        </w:tc>
        <w:tc>
          <w:tcPr>
            <w:tcW w:w="98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实际完成值</w:t>
            </w:r>
          </w:p>
        </w:tc>
        <w:tc>
          <w:tcPr>
            <w:tcW w:w="72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分值</w:t>
            </w:r>
          </w:p>
        </w:tc>
        <w:tc>
          <w:tcPr>
            <w:tcW w:w="70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得分</w:t>
            </w:r>
          </w:p>
        </w:tc>
        <w:tc>
          <w:tcPr>
            <w:tcW w:w="88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偏差原因分析及改进措施</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效</w:t>
            </w: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r>
      <w:tr w:rsidR="00E2137C">
        <w:trPr>
          <w:trHeight w:val="323"/>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指</w:t>
            </w:r>
          </w:p>
        </w:tc>
        <w:tc>
          <w:tcPr>
            <w:tcW w:w="500" w:type="dxa"/>
            <w:vMerge w:val="restart"/>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产出指标</w:t>
            </w:r>
          </w:p>
        </w:tc>
        <w:tc>
          <w:tcPr>
            <w:tcW w:w="106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数量指标</w:t>
            </w:r>
          </w:p>
        </w:tc>
        <w:tc>
          <w:tcPr>
            <w:tcW w:w="158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人员工资、福利支出发放人次</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≥11400人次</w:t>
            </w:r>
          </w:p>
        </w:tc>
        <w:tc>
          <w:tcPr>
            <w:tcW w:w="9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12000人次</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质量指标</w:t>
            </w:r>
          </w:p>
        </w:tc>
        <w:tc>
          <w:tcPr>
            <w:tcW w:w="158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离职率</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9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vMerge w:val="restart"/>
            <w:tcBorders>
              <w:top w:val="single" w:sz="8" w:space="0" w:color="auto"/>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时效指标</w:t>
            </w:r>
          </w:p>
        </w:tc>
        <w:tc>
          <w:tcPr>
            <w:tcW w:w="158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人员工资、福利发放时间</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12月</w:t>
            </w:r>
          </w:p>
        </w:tc>
        <w:tc>
          <w:tcPr>
            <w:tcW w:w="9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12月</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158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三公经费保障时间</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12月</w:t>
            </w:r>
          </w:p>
        </w:tc>
        <w:tc>
          <w:tcPr>
            <w:tcW w:w="9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12月</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成本指标</w:t>
            </w:r>
          </w:p>
        </w:tc>
        <w:tc>
          <w:tcPr>
            <w:tcW w:w="158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三公经费节支率</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≥3%</w:t>
            </w:r>
          </w:p>
        </w:tc>
        <w:tc>
          <w:tcPr>
            <w:tcW w:w="9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64%</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158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成本控制数</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≤13366万元</w:t>
            </w:r>
          </w:p>
        </w:tc>
        <w:tc>
          <w:tcPr>
            <w:tcW w:w="9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13360.19万元</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500" w:type="dxa"/>
            <w:vMerge w:val="restart"/>
            <w:tcBorders>
              <w:top w:val="single" w:sz="8" w:space="0" w:color="auto"/>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效益</w:t>
            </w:r>
            <w:r>
              <w:rPr>
                <w:rFonts w:hint="eastAsia"/>
                <w:color w:val="000000"/>
                <w:sz w:val="12"/>
                <w:szCs w:val="12"/>
              </w:rPr>
              <w:lastRenderedPageBreak/>
              <w:t>指标</w:t>
            </w:r>
          </w:p>
        </w:tc>
        <w:tc>
          <w:tcPr>
            <w:tcW w:w="106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lastRenderedPageBreak/>
              <w:t>经济效益指标</w:t>
            </w:r>
          </w:p>
        </w:tc>
        <w:tc>
          <w:tcPr>
            <w:tcW w:w="158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9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64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lastRenderedPageBreak/>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社会效益指标</w:t>
            </w:r>
          </w:p>
        </w:tc>
        <w:tc>
          <w:tcPr>
            <w:tcW w:w="158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在艺术创作、演出经验、剧场管理、人才培训、舞美服务等方面发挥引领和示范作用</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9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14</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lastRenderedPageBreak/>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生态效益指标</w:t>
            </w:r>
          </w:p>
        </w:tc>
        <w:tc>
          <w:tcPr>
            <w:tcW w:w="158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9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100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可持续影响指标</w:t>
            </w:r>
          </w:p>
        </w:tc>
        <w:tc>
          <w:tcPr>
            <w:tcW w:w="158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创作、演出、推广具有草原文化特色的艺术作品。发展舞剧、蒙古剧、歌剧、音乐剧、交响乐、民乐、歌舞、曲艺、二人台等艺术形式</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9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14</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23"/>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5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满意度</w:t>
            </w: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服务对象满意度指标</w:t>
            </w:r>
          </w:p>
        </w:tc>
        <w:tc>
          <w:tcPr>
            <w:tcW w:w="158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职工满意度</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≥90%</w:t>
            </w:r>
          </w:p>
        </w:tc>
        <w:tc>
          <w:tcPr>
            <w:tcW w:w="9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90%</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5320" w:type="dxa"/>
            <w:gridSpan w:val="8"/>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总分</w:t>
            </w:r>
          </w:p>
        </w:tc>
        <w:tc>
          <w:tcPr>
            <w:tcW w:w="7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92</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bl>
    <w:p w:rsidR="00E2137C" w:rsidRPr="00EB78EC" w:rsidRDefault="00E2137C">
      <w:pPr>
        <w:autoSpaceDE w:val="0"/>
        <w:autoSpaceDN w:val="0"/>
        <w:spacing w:before="100" w:beforeAutospacing="1" w:after="100" w:afterAutospacing="1" w:line="580" w:lineRule="atLeast"/>
        <w:rPr>
          <w:rFonts w:ascii="仿宋_GB2312" w:hAnsi="仿宋_GB2312"/>
          <w:color w:val="FF0000"/>
          <w:sz w:val="4"/>
          <w:szCs w:val="32"/>
        </w:rPr>
      </w:pPr>
    </w:p>
    <w:p w:rsidR="00E2137C" w:rsidRPr="00C6150B" w:rsidRDefault="00E2137C">
      <w:pPr>
        <w:autoSpaceDE w:val="0"/>
        <w:autoSpaceDN w:val="0"/>
        <w:spacing w:before="100" w:beforeAutospacing="1" w:after="100" w:afterAutospacing="1" w:line="580" w:lineRule="atLeast"/>
        <w:ind w:firstLineChars="200" w:firstLine="640"/>
        <w:rPr>
          <w:rFonts w:ascii="仿宋" w:eastAsia="仿宋" w:hAnsi="仿宋"/>
          <w:color w:val="000000" w:themeColor="text1"/>
          <w:sz w:val="32"/>
          <w:szCs w:val="32"/>
        </w:rPr>
      </w:pPr>
      <w:r w:rsidRPr="00C6150B">
        <w:rPr>
          <w:rFonts w:ascii="仿宋" w:eastAsia="仿宋" w:hAnsi="仿宋" w:cs="Times New Roman"/>
          <w:color w:val="000000" w:themeColor="text1"/>
          <w:sz w:val="32"/>
          <w:szCs w:val="32"/>
        </w:rPr>
        <w:t>2.</w:t>
      </w:r>
      <w:r w:rsidRPr="00C6150B">
        <w:rPr>
          <w:rFonts w:ascii="仿宋" w:eastAsia="仿宋" w:hAnsi="仿宋" w:cs="Times New Roman" w:hint="eastAsia"/>
          <w:color w:val="000000" w:themeColor="text1"/>
          <w:sz w:val="32"/>
          <w:szCs w:val="32"/>
        </w:rPr>
        <w:t>文化场馆运转保障</w:t>
      </w:r>
      <w:r w:rsidRPr="00C6150B">
        <w:rPr>
          <w:rFonts w:ascii="仿宋" w:eastAsia="仿宋" w:hAnsi="仿宋" w:hint="eastAsia"/>
          <w:color w:val="000000" w:themeColor="text1"/>
          <w:sz w:val="32"/>
          <w:szCs w:val="32"/>
        </w:rPr>
        <w:t>项目自评综述：根据年初设定的绩效目标，项目自评得95分。全年预算数为254.9万元，执行数为254.9万元，完成预算的100%。项目绩效目标完成情况：该项目所有款项按时支付，产出指标、效益指标等核心绩效指标完成情况良好。</w:t>
      </w:r>
    </w:p>
    <w:tbl>
      <w:tblPr>
        <w:tblW w:w="7700" w:type="dxa"/>
        <w:tblInd w:w="93" w:type="dxa"/>
        <w:tblLook w:val="04A0"/>
      </w:tblPr>
      <w:tblGrid>
        <w:gridCol w:w="460"/>
        <w:gridCol w:w="500"/>
        <w:gridCol w:w="1060"/>
        <w:gridCol w:w="220"/>
        <w:gridCol w:w="700"/>
        <w:gridCol w:w="700"/>
        <w:gridCol w:w="740"/>
        <w:gridCol w:w="940"/>
        <w:gridCol w:w="820"/>
        <w:gridCol w:w="700"/>
        <w:gridCol w:w="860"/>
      </w:tblGrid>
      <w:tr w:rsidR="00E2137C">
        <w:trPr>
          <w:trHeight w:val="405"/>
        </w:trPr>
        <w:tc>
          <w:tcPr>
            <w:tcW w:w="7700" w:type="dxa"/>
            <w:gridSpan w:val="11"/>
            <w:vAlign w:val="center"/>
            <w:hideMark/>
          </w:tcPr>
          <w:p w:rsidR="00E2137C" w:rsidRDefault="00E2137C">
            <w:pPr>
              <w:jc w:val="center"/>
              <w:rPr>
                <w:b/>
                <w:bCs/>
                <w:color w:val="000000"/>
                <w:sz w:val="32"/>
                <w:szCs w:val="32"/>
              </w:rPr>
            </w:pPr>
            <w:r>
              <w:rPr>
                <w:rFonts w:hint="eastAsia"/>
                <w:b/>
                <w:bCs/>
                <w:color w:val="000000"/>
                <w:sz w:val="32"/>
                <w:szCs w:val="32"/>
              </w:rPr>
              <w:t>项目支出绩效自评表</w:t>
            </w:r>
          </w:p>
        </w:tc>
      </w:tr>
      <w:tr w:rsidR="00E2137C">
        <w:trPr>
          <w:trHeight w:val="285"/>
        </w:trPr>
        <w:tc>
          <w:tcPr>
            <w:tcW w:w="7700" w:type="dxa"/>
            <w:gridSpan w:val="11"/>
            <w:tcBorders>
              <w:top w:val="nil"/>
              <w:left w:val="nil"/>
              <w:bottom w:val="single" w:sz="8" w:space="0" w:color="auto"/>
              <w:right w:val="nil"/>
            </w:tcBorders>
            <w:hideMark/>
          </w:tcPr>
          <w:p w:rsidR="00E2137C" w:rsidRDefault="00E2137C">
            <w:pPr>
              <w:jc w:val="center"/>
              <w:rPr>
                <w:color w:val="000000"/>
                <w:sz w:val="22"/>
                <w:szCs w:val="22"/>
              </w:rPr>
            </w:pPr>
            <w:r>
              <w:rPr>
                <w:rFonts w:hint="eastAsia"/>
                <w:color w:val="000000"/>
                <w:sz w:val="22"/>
                <w:szCs w:val="22"/>
              </w:rPr>
              <w:t>（   2021 年度）</w:t>
            </w:r>
          </w:p>
        </w:tc>
      </w:tr>
      <w:tr w:rsidR="00E2137C">
        <w:trPr>
          <w:trHeight w:val="240"/>
        </w:trPr>
        <w:tc>
          <w:tcPr>
            <w:tcW w:w="960" w:type="dxa"/>
            <w:gridSpan w:val="2"/>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项目名称</w:t>
            </w:r>
          </w:p>
        </w:tc>
        <w:tc>
          <w:tcPr>
            <w:tcW w:w="6740" w:type="dxa"/>
            <w:gridSpan w:val="9"/>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文化强区和民族文化建设专项</w:t>
            </w:r>
          </w:p>
        </w:tc>
      </w:tr>
      <w:tr w:rsidR="00E2137C">
        <w:trPr>
          <w:trHeight w:val="240"/>
        </w:trPr>
        <w:tc>
          <w:tcPr>
            <w:tcW w:w="960" w:type="dxa"/>
            <w:gridSpan w:val="2"/>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主管部门</w:t>
            </w:r>
          </w:p>
        </w:tc>
        <w:tc>
          <w:tcPr>
            <w:tcW w:w="3420" w:type="dxa"/>
            <w:gridSpan w:val="5"/>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自治区文化和旅游厅</w:t>
            </w:r>
          </w:p>
        </w:tc>
        <w:tc>
          <w:tcPr>
            <w:tcW w:w="940" w:type="dxa"/>
            <w:tcBorders>
              <w:top w:val="nil"/>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实施单位</w:t>
            </w:r>
          </w:p>
        </w:tc>
        <w:tc>
          <w:tcPr>
            <w:tcW w:w="2380" w:type="dxa"/>
            <w:gridSpan w:val="3"/>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内蒙古艺术剧院</w:t>
            </w:r>
          </w:p>
        </w:tc>
      </w:tr>
      <w:tr w:rsidR="00E2137C">
        <w:trPr>
          <w:trHeight w:val="240"/>
        </w:trPr>
        <w:tc>
          <w:tcPr>
            <w:tcW w:w="960" w:type="dxa"/>
            <w:gridSpan w:val="2"/>
            <w:tcBorders>
              <w:top w:val="single" w:sz="8" w:space="0" w:color="auto"/>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项目资金</w:t>
            </w:r>
          </w:p>
        </w:tc>
        <w:tc>
          <w:tcPr>
            <w:tcW w:w="1280" w:type="dxa"/>
            <w:gridSpan w:val="2"/>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年初预算数</w:t>
            </w:r>
          </w:p>
        </w:tc>
        <w:tc>
          <w:tcPr>
            <w:tcW w:w="1440" w:type="dxa"/>
            <w:gridSpan w:val="2"/>
            <w:tcBorders>
              <w:top w:val="single" w:sz="8" w:space="0" w:color="auto"/>
              <w:left w:val="nil"/>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全年预算数</w:t>
            </w:r>
          </w:p>
        </w:tc>
        <w:tc>
          <w:tcPr>
            <w:tcW w:w="940" w:type="dxa"/>
            <w:vAlign w:val="center"/>
            <w:hideMark/>
          </w:tcPr>
          <w:p w:rsidR="00E2137C" w:rsidRDefault="00E2137C">
            <w:pPr>
              <w:jc w:val="center"/>
              <w:rPr>
                <w:color w:val="000000"/>
                <w:sz w:val="12"/>
                <w:szCs w:val="12"/>
              </w:rPr>
            </w:pPr>
            <w:r>
              <w:rPr>
                <w:rFonts w:hint="eastAsia"/>
                <w:color w:val="000000"/>
                <w:sz w:val="12"/>
                <w:szCs w:val="12"/>
              </w:rPr>
              <w:t>全年执行数</w:t>
            </w:r>
          </w:p>
        </w:tc>
        <w:tc>
          <w:tcPr>
            <w:tcW w:w="820" w:type="dxa"/>
            <w:tcBorders>
              <w:top w:val="nil"/>
              <w:left w:val="single" w:sz="8" w:space="0" w:color="auto"/>
              <w:bottom w:val="nil"/>
              <w:right w:val="nil"/>
            </w:tcBorders>
            <w:vAlign w:val="center"/>
            <w:hideMark/>
          </w:tcPr>
          <w:p w:rsidR="00E2137C" w:rsidRDefault="00E2137C">
            <w:pPr>
              <w:jc w:val="center"/>
              <w:rPr>
                <w:color w:val="000000"/>
                <w:sz w:val="12"/>
                <w:szCs w:val="12"/>
              </w:rPr>
            </w:pPr>
            <w:r>
              <w:rPr>
                <w:rFonts w:hint="eastAsia"/>
                <w:color w:val="000000"/>
                <w:sz w:val="12"/>
                <w:szCs w:val="12"/>
              </w:rPr>
              <w:t>分值</w:t>
            </w:r>
          </w:p>
        </w:tc>
        <w:tc>
          <w:tcPr>
            <w:tcW w:w="70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执行率</w:t>
            </w:r>
          </w:p>
        </w:tc>
        <w:tc>
          <w:tcPr>
            <w:tcW w:w="86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得分</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（万元）</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both"/>
              <w:rPr>
                <w:color w:val="000000"/>
                <w:sz w:val="12"/>
                <w:szCs w:val="12"/>
              </w:rPr>
            </w:pPr>
            <w:r>
              <w:rPr>
                <w:rFonts w:hint="eastAsia"/>
                <w:color w:val="000000"/>
                <w:sz w:val="12"/>
                <w:szCs w:val="12"/>
              </w:rPr>
              <w:t>年度资金总额</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254.9</w:t>
            </w:r>
          </w:p>
        </w:tc>
        <w:tc>
          <w:tcPr>
            <w:tcW w:w="144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254.9</w:t>
            </w:r>
          </w:p>
        </w:tc>
        <w:tc>
          <w:tcPr>
            <w:tcW w:w="94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254.9</w:t>
            </w:r>
          </w:p>
        </w:tc>
        <w:tc>
          <w:tcPr>
            <w:tcW w:w="82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c>
          <w:tcPr>
            <w:tcW w:w="70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100%</w:t>
            </w:r>
          </w:p>
        </w:tc>
        <w:tc>
          <w:tcPr>
            <w:tcW w:w="86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其中：当年财政拨款</w:t>
            </w:r>
          </w:p>
        </w:tc>
        <w:tc>
          <w:tcPr>
            <w:tcW w:w="700" w:type="dxa"/>
            <w:tcBorders>
              <w:top w:val="nil"/>
              <w:left w:val="single" w:sz="8" w:space="0" w:color="auto"/>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254.9</w:t>
            </w:r>
          </w:p>
        </w:tc>
        <w:tc>
          <w:tcPr>
            <w:tcW w:w="144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254.9</w:t>
            </w:r>
          </w:p>
        </w:tc>
        <w:tc>
          <w:tcPr>
            <w:tcW w:w="94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254.9</w:t>
            </w:r>
          </w:p>
        </w:tc>
        <w:tc>
          <w:tcPr>
            <w:tcW w:w="82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c>
          <w:tcPr>
            <w:tcW w:w="70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100%</w:t>
            </w:r>
          </w:p>
        </w:tc>
        <w:tc>
          <w:tcPr>
            <w:tcW w:w="86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 xml:space="preserve">      上年结转资金</w:t>
            </w:r>
          </w:p>
        </w:tc>
        <w:tc>
          <w:tcPr>
            <w:tcW w:w="700" w:type="dxa"/>
            <w:tcBorders>
              <w:top w:val="nil"/>
              <w:left w:val="single" w:sz="8" w:space="0" w:color="auto"/>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144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 xml:space="preserve">　</w:t>
            </w:r>
          </w:p>
        </w:tc>
        <w:tc>
          <w:tcPr>
            <w:tcW w:w="94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82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70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86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r>
      <w:tr w:rsidR="00E2137C">
        <w:trPr>
          <w:trHeight w:val="240"/>
        </w:trPr>
        <w:tc>
          <w:tcPr>
            <w:tcW w:w="960" w:type="dxa"/>
            <w:gridSpan w:val="2"/>
            <w:tcBorders>
              <w:top w:val="nil"/>
              <w:left w:val="single" w:sz="8" w:space="0" w:color="auto"/>
              <w:bottom w:val="single" w:sz="8" w:space="0" w:color="auto"/>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 xml:space="preserve">  其他资金</w:t>
            </w:r>
          </w:p>
        </w:tc>
        <w:tc>
          <w:tcPr>
            <w:tcW w:w="700" w:type="dxa"/>
            <w:tcBorders>
              <w:top w:val="nil"/>
              <w:left w:val="single" w:sz="8" w:space="0" w:color="auto"/>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440" w:type="dxa"/>
            <w:gridSpan w:val="2"/>
            <w:tcBorders>
              <w:top w:val="single" w:sz="8" w:space="0" w:color="auto"/>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w:t>
            </w:r>
          </w:p>
        </w:tc>
      </w:tr>
      <w:tr w:rsidR="00E2137C">
        <w:trPr>
          <w:trHeight w:val="240"/>
        </w:trPr>
        <w:tc>
          <w:tcPr>
            <w:tcW w:w="46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年度总体目标</w:t>
            </w:r>
          </w:p>
        </w:tc>
        <w:tc>
          <w:tcPr>
            <w:tcW w:w="3920" w:type="dxa"/>
            <w:gridSpan w:val="6"/>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预期目标</w:t>
            </w:r>
          </w:p>
        </w:tc>
        <w:tc>
          <w:tcPr>
            <w:tcW w:w="3320" w:type="dxa"/>
            <w:gridSpan w:val="4"/>
            <w:tcBorders>
              <w:top w:val="nil"/>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实际完成情况</w:t>
            </w:r>
          </w:p>
        </w:tc>
      </w:tr>
      <w:tr w:rsidR="00E2137C">
        <w:trPr>
          <w:trHeight w:val="240"/>
        </w:trPr>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3920" w:type="dxa"/>
            <w:gridSpan w:val="6"/>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支付上年度项目尾款</w:t>
            </w:r>
          </w:p>
        </w:tc>
        <w:tc>
          <w:tcPr>
            <w:tcW w:w="3320" w:type="dxa"/>
            <w:gridSpan w:val="4"/>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支付上年度项目尾款</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绩</w:t>
            </w:r>
          </w:p>
        </w:tc>
        <w:tc>
          <w:tcPr>
            <w:tcW w:w="50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一级指标</w:t>
            </w:r>
          </w:p>
        </w:tc>
        <w:tc>
          <w:tcPr>
            <w:tcW w:w="106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二级指标</w:t>
            </w:r>
          </w:p>
        </w:tc>
        <w:tc>
          <w:tcPr>
            <w:tcW w:w="1620"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三级指标</w:t>
            </w:r>
          </w:p>
        </w:tc>
        <w:tc>
          <w:tcPr>
            <w:tcW w:w="74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年度指标值</w:t>
            </w:r>
          </w:p>
        </w:tc>
        <w:tc>
          <w:tcPr>
            <w:tcW w:w="94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实际完成值</w:t>
            </w:r>
          </w:p>
        </w:tc>
        <w:tc>
          <w:tcPr>
            <w:tcW w:w="82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分值</w:t>
            </w:r>
          </w:p>
        </w:tc>
        <w:tc>
          <w:tcPr>
            <w:tcW w:w="70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得分</w:t>
            </w:r>
          </w:p>
        </w:tc>
        <w:tc>
          <w:tcPr>
            <w:tcW w:w="86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偏差原因分析及改进措施</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效</w:t>
            </w: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指</w:t>
            </w:r>
          </w:p>
        </w:tc>
        <w:tc>
          <w:tcPr>
            <w:tcW w:w="500" w:type="dxa"/>
            <w:vMerge w:val="restart"/>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产出指标</w:t>
            </w:r>
          </w:p>
        </w:tc>
        <w:tc>
          <w:tcPr>
            <w:tcW w:w="106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数量指标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需支付尾款项目数</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11项</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11项</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8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质量指标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资金支付及时率</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8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时效指标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完成时间</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2021年</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2021年</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8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成本指标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成本控制数</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≤254.9万元</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254.9万元</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8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500" w:type="dxa"/>
            <w:vMerge w:val="restart"/>
            <w:tcBorders>
              <w:top w:val="single" w:sz="8" w:space="0" w:color="auto"/>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效益指标</w:t>
            </w: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经济效益指标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63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社会效益指标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提供良好的办公环境和条件，建立完善的水、电、暖管网基础基础设施</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13</w:t>
            </w:r>
          </w:p>
        </w:tc>
        <w:tc>
          <w:tcPr>
            <w:tcW w:w="8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生态效益指标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7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可持续影响指标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有效保障本单位日常工作</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13</w:t>
            </w:r>
          </w:p>
        </w:tc>
        <w:tc>
          <w:tcPr>
            <w:tcW w:w="8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7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lastRenderedPageBreak/>
              <w:t xml:space="preserve">　</w:t>
            </w:r>
          </w:p>
        </w:tc>
        <w:tc>
          <w:tcPr>
            <w:tcW w:w="5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满意度</w:t>
            </w: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服务对象满意度指标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观众满意度</w:t>
            </w:r>
          </w:p>
        </w:tc>
        <w:tc>
          <w:tcPr>
            <w:tcW w:w="7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≥90%</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w:t>
            </w:r>
          </w:p>
        </w:tc>
        <w:tc>
          <w:tcPr>
            <w:tcW w:w="8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5320" w:type="dxa"/>
            <w:gridSpan w:val="8"/>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总分</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95</w:t>
            </w:r>
          </w:p>
        </w:tc>
        <w:tc>
          <w:tcPr>
            <w:tcW w:w="8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bl>
    <w:p w:rsidR="00E2137C" w:rsidRDefault="00E2137C">
      <w:pPr>
        <w:autoSpaceDE w:val="0"/>
        <w:autoSpaceDN w:val="0"/>
        <w:spacing w:before="100" w:beforeAutospacing="1" w:after="100" w:afterAutospacing="1" w:line="580" w:lineRule="atLeast"/>
        <w:rPr>
          <w:rFonts w:ascii="仿宋_GB2312" w:hAnsi="仿宋_GB2312"/>
          <w:color w:val="FF0000"/>
          <w:sz w:val="32"/>
          <w:szCs w:val="32"/>
        </w:rPr>
      </w:pPr>
    </w:p>
    <w:p w:rsidR="00E2137C" w:rsidRPr="00C6150B" w:rsidRDefault="00E2137C" w:rsidP="00C6150B">
      <w:pPr>
        <w:ind w:firstLineChars="200" w:firstLine="640"/>
        <w:rPr>
          <w:rFonts w:ascii="仿宋" w:eastAsia="仿宋" w:hAnsi="仿宋"/>
          <w:color w:val="000000" w:themeColor="text1"/>
          <w:sz w:val="32"/>
          <w:szCs w:val="32"/>
        </w:rPr>
      </w:pPr>
      <w:r w:rsidRPr="00C6150B">
        <w:rPr>
          <w:rFonts w:ascii="仿宋" w:eastAsia="仿宋" w:hAnsi="仿宋" w:cs="Times New Roman"/>
          <w:color w:val="000000" w:themeColor="text1"/>
          <w:sz w:val="32"/>
          <w:szCs w:val="32"/>
        </w:rPr>
        <w:t xml:space="preserve">3. </w:t>
      </w:r>
      <w:r w:rsidRPr="00C6150B">
        <w:rPr>
          <w:rFonts w:ascii="仿宋" w:eastAsia="仿宋" w:hAnsi="仿宋" w:cs="Times New Roman" w:hint="eastAsia"/>
          <w:color w:val="000000" w:themeColor="text1"/>
          <w:sz w:val="32"/>
          <w:szCs w:val="32"/>
        </w:rPr>
        <w:t>艺术发展专项</w:t>
      </w:r>
      <w:r w:rsidRPr="00C6150B">
        <w:rPr>
          <w:rFonts w:ascii="仿宋" w:eastAsia="仿宋" w:hAnsi="仿宋" w:hint="eastAsia"/>
          <w:color w:val="000000" w:themeColor="text1"/>
          <w:sz w:val="32"/>
          <w:szCs w:val="32"/>
        </w:rPr>
        <w:t>项目自评综述：根据年初设定的绩效目标，项目自评得分91分。全年预算数为2813万元，执行数为2336.27万元，完成预算的83.05%。项目绩效目标完成情况：创作完成现实题材剧目18部，中小型作品创作20余个；启动了实验剧场项目，举办了“内蒙古艺术剧院实验剧场项目启动仪式暨海选发布会”。在参赛获奖方面，共获得30余项。在演出活动方面，完成各类演出877场，观众人数累计达到20万余次。在文化交流方面完成各类交流演出，受到自治区党委政府、社会各族各界的广泛好评。产出、效益等核心绩效指标完成情况良好。</w:t>
      </w:r>
    </w:p>
    <w:p w:rsidR="00C6150B" w:rsidRDefault="00C6150B">
      <w:pPr>
        <w:ind w:firstLineChars="200" w:firstLine="640"/>
        <w:rPr>
          <w:rFonts w:ascii="仿宋_GB2312" w:eastAsia="仿宋_GB2312" w:hAnsi="仿宋"/>
          <w:sz w:val="32"/>
          <w:szCs w:val="32"/>
        </w:rPr>
      </w:pPr>
    </w:p>
    <w:p w:rsidR="00C6150B" w:rsidRDefault="00C6150B">
      <w:pPr>
        <w:ind w:firstLineChars="200" w:firstLine="640"/>
        <w:rPr>
          <w:rFonts w:ascii="仿宋_GB2312" w:eastAsia="仿宋_GB2312" w:hAnsi="仿宋"/>
          <w:sz w:val="32"/>
          <w:szCs w:val="32"/>
        </w:rPr>
      </w:pPr>
    </w:p>
    <w:tbl>
      <w:tblPr>
        <w:tblW w:w="7720" w:type="dxa"/>
        <w:tblInd w:w="93" w:type="dxa"/>
        <w:tblLook w:val="04A0"/>
      </w:tblPr>
      <w:tblGrid>
        <w:gridCol w:w="460"/>
        <w:gridCol w:w="500"/>
        <w:gridCol w:w="1060"/>
        <w:gridCol w:w="220"/>
        <w:gridCol w:w="700"/>
        <w:gridCol w:w="640"/>
        <w:gridCol w:w="560"/>
        <w:gridCol w:w="1000"/>
        <w:gridCol w:w="820"/>
        <w:gridCol w:w="700"/>
        <w:gridCol w:w="1060"/>
      </w:tblGrid>
      <w:tr w:rsidR="00E2137C">
        <w:trPr>
          <w:trHeight w:val="405"/>
        </w:trPr>
        <w:tc>
          <w:tcPr>
            <w:tcW w:w="7720" w:type="dxa"/>
            <w:gridSpan w:val="11"/>
            <w:vAlign w:val="center"/>
            <w:hideMark/>
          </w:tcPr>
          <w:p w:rsidR="00E2137C" w:rsidRDefault="00E2137C">
            <w:pPr>
              <w:jc w:val="center"/>
              <w:rPr>
                <w:b/>
                <w:bCs/>
                <w:color w:val="000000"/>
                <w:sz w:val="32"/>
                <w:szCs w:val="32"/>
              </w:rPr>
            </w:pPr>
            <w:r>
              <w:rPr>
                <w:rFonts w:hint="eastAsia"/>
                <w:b/>
                <w:bCs/>
                <w:color w:val="000000"/>
                <w:sz w:val="32"/>
                <w:szCs w:val="32"/>
              </w:rPr>
              <w:t>项目支出绩效自评表</w:t>
            </w:r>
          </w:p>
        </w:tc>
      </w:tr>
      <w:tr w:rsidR="00E2137C">
        <w:trPr>
          <w:trHeight w:val="285"/>
        </w:trPr>
        <w:tc>
          <w:tcPr>
            <w:tcW w:w="7720" w:type="dxa"/>
            <w:gridSpan w:val="11"/>
            <w:tcBorders>
              <w:top w:val="nil"/>
              <w:left w:val="nil"/>
              <w:bottom w:val="single" w:sz="8" w:space="0" w:color="auto"/>
              <w:right w:val="nil"/>
            </w:tcBorders>
            <w:hideMark/>
          </w:tcPr>
          <w:p w:rsidR="00E2137C" w:rsidRDefault="00E2137C">
            <w:pPr>
              <w:jc w:val="center"/>
              <w:rPr>
                <w:color w:val="000000"/>
                <w:sz w:val="22"/>
                <w:szCs w:val="22"/>
              </w:rPr>
            </w:pPr>
            <w:r>
              <w:rPr>
                <w:rFonts w:hint="eastAsia"/>
                <w:color w:val="000000"/>
                <w:sz w:val="22"/>
                <w:szCs w:val="22"/>
              </w:rPr>
              <w:t>（   2021 年度）</w:t>
            </w:r>
          </w:p>
        </w:tc>
      </w:tr>
      <w:tr w:rsidR="00E2137C">
        <w:trPr>
          <w:trHeight w:val="240"/>
        </w:trPr>
        <w:tc>
          <w:tcPr>
            <w:tcW w:w="960" w:type="dxa"/>
            <w:gridSpan w:val="2"/>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项目名称</w:t>
            </w:r>
          </w:p>
        </w:tc>
        <w:tc>
          <w:tcPr>
            <w:tcW w:w="6760" w:type="dxa"/>
            <w:gridSpan w:val="9"/>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艺术发展专项</w:t>
            </w:r>
          </w:p>
        </w:tc>
      </w:tr>
      <w:tr w:rsidR="00E2137C">
        <w:trPr>
          <w:trHeight w:val="240"/>
        </w:trPr>
        <w:tc>
          <w:tcPr>
            <w:tcW w:w="960" w:type="dxa"/>
            <w:gridSpan w:val="2"/>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主管部门</w:t>
            </w:r>
          </w:p>
        </w:tc>
        <w:tc>
          <w:tcPr>
            <w:tcW w:w="3180" w:type="dxa"/>
            <w:gridSpan w:val="5"/>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自治区文化和旅游厅</w:t>
            </w:r>
          </w:p>
        </w:tc>
        <w:tc>
          <w:tcPr>
            <w:tcW w:w="1000" w:type="dxa"/>
            <w:tcBorders>
              <w:top w:val="nil"/>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实施单位</w:t>
            </w:r>
          </w:p>
        </w:tc>
        <w:tc>
          <w:tcPr>
            <w:tcW w:w="2580" w:type="dxa"/>
            <w:gridSpan w:val="3"/>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内蒙古艺术剧院</w:t>
            </w:r>
          </w:p>
        </w:tc>
      </w:tr>
      <w:tr w:rsidR="00E2137C">
        <w:trPr>
          <w:trHeight w:val="240"/>
        </w:trPr>
        <w:tc>
          <w:tcPr>
            <w:tcW w:w="960" w:type="dxa"/>
            <w:gridSpan w:val="2"/>
            <w:tcBorders>
              <w:top w:val="single" w:sz="8" w:space="0" w:color="auto"/>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项目资金</w:t>
            </w:r>
          </w:p>
        </w:tc>
        <w:tc>
          <w:tcPr>
            <w:tcW w:w="1280" w:type="dxa"/>
            <w:gridSpan w:val="2"/>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年初预算数</w:t>
            </w:r>
          </w:p>
        </w:tc>
        <w:tc>
          <w:tcPr>
            <w:tcW w:w="1200" w:type="dxa"/>
            <w:gridSpan w:val="2"/>
            <w:tcBorders>
              <w:top w:val="single" w:sz="8" w:space="0" w:color="auto"/>
              <w:left w:val="nil"/>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全年预算数</w:t>
            </w:r>
          </w:p>
        </w:tc>
        <w:tc>
          <w:tcPr>
            <w:tcW w:w="1000" w:type="dxa"/>
            <w:vAlign w:val="center"/>
            <w:hideMark/>
          </w:tcPr>
          <w:p w:rsidR="00E2137C" w:rsidRDefault="00E2137C">
            <w:pPr>
              <w:jc w:val="center"/>
              <w:rPr>
                <w:color w:val="000000"/>
                <w:sz w:val="12"/>
                <w:szCs w:val="12"/>
              </w:rPr>
            </w:pPr>
            <w:r>
              <w:rPr>
                <w:rFonts w:hint="eastAsia"/>
                <w:color w:val="000000"/>
                <w:sz w:val="12"/>
                <w:szCs w:val="12"/>
              </w:rPr>
              <w:t>全年执行数</w:t>
            </w:r>
          </w:p>
        </w:tc>
        <w:tc>
          <w:tcPr>
            <w:tcW w:w="820" w:type="dxa"/>
            <w:tcBorders>
              <w:top w:val="nil"/>
              <w:left w:val="single" w:sz="8" w:space="0" w:color="auto"/>
              <w:bottom w:val="nil"/>
              <w:right w:val="nil"/>
            </w:tcBorders>
            <w:vAlign w:val="center"/>
            <w:hideMark/>
          </w:tcPr>
          <w:p w:rsidR="00E2137C" w:rsidRDefault="00E2137C">
            <w:pPr>
              <w:jc w:val="center"/>
              <w:rPr>
                <w:color w:val="000000"/>
                <w:sz w:val="12"/>
                <w:szCs w:val="12"/>
              </w:rPr>
            </w:pPr>
            <w:r>
              <w:rPr>
                <w:rFonts w:hint="eastAsia"/>
                <w:color w:val="000000"/>
                <w:sz w:val="12"/>
                <w:szCs w:val="12"/>
              </w:rPr>
              <w:t>分值</w:t>
            </w:r>
          </w:p>
        </w:tc>
        <w:tc>
          <w:tcPr>
            <w:tcW w:w="70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执行率</w:t>
            </w:r>
          </w:p>
        </w:tc>
        <w:tc>
          <w:tcPr>
            <w:tcW w:w="106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得分</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（万元）</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both"/>
              <w:rPr>
                <w:color w:val="000000"/>
                <w:sz w:val="12"/>
                <w:szCs w:val="12"/>
              </w:rPr>
            </w:pPr>
            <w:r>
              <w:rPr>
                <w:rFonts w:hint="eastAsia"/>
                <w:color w:val="000000"/>
                <w:sz w:val="12"/>
                <w:szCs w:val="12"/>
              </w:rPr>
              <w:t>年度资金总额</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2813</w:t>
            </w:r>
          </w:p>
        </w:tc>
        <w:tc>
          <w:tcPr>
            <w:tcW w:w="120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2813</w:t>
            </w:r>
          </w:p>
        </w:tc>
        <w:tc>
          <w:tcPr>
            <w:tcW w:w="100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2336.27</w:t>
            </w:r>
          </w:p>
        </w:tc>
        <w:tc>
          <w:tcPr>
            <w:tcW w:w="82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c>
          <w:tcPr>
            <w:tcW w:w="70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83.05%</w:t>
            </w:r>
          </w:p>
        </w:tc>
        <w:tc>
          <w:tcPr>
            <w:tcW w:w="106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8</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其中：当年财政拨款</w:t>
            </w:r>
          </w:p>
        </w:tc>
        <w:tc>
          <w:tcPr>
            <w:tcW w:w="700" w:type="dxa"/>
            <w:tcBorders>
              <w:top w:val="nil"/>
              <w:left w:val="single" w:sz="8" w:space="0" w:color="auto"/>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2813</w:t>
            </w:r>
          </w:p>
        </w:tc>
        <w:tc>
          <w:tcPr>
            <w:tcW w:w="120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2813</w:t>
            </w:r>
          </w:p>
        </w:tc>
        <w:tc>
          <w:tcPr>
            <w:tcW w:w="100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2336.27</w:t>
            </w:r>
          </w:p>
        </w:tc>
        <w:tc>
          <w:tcPr>
            <w:tcW w:w="82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c>
          <w:tcPr>
            <w:tcW w:w="70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83.05%</w:t>
            </w:r>
          </w:p>
        </w:tc>
        <w:tc>
          <w:tcPr>
            <w:tcW w:w="106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8</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 xml:space="preserve">      上年结转资金</w:t>
            </w:r>
          </w:p>
        </w:tc>
        <w:tc>
          <w:tcPr>
            <w:tcW w:w="700" w:type="dxa"/>
            <w:tcBorders>
              <w:top w:val="nil"/>
              <w:left w:val="single" w:sz="8" w:space="0" w:color="auto"/>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120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 xml:space="preserve">　</w:t>
            </w:r>
          </w:p>
        </w:tc>
        <w:tc>
          <w:tcPr>
            <w:tcW w:w="100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82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70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106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r>
      <w:tr w:rsidR="00E2137C">
        <w:trPr>
          <w:trHeight w:val="240"/>
        </w:trPr>
        <w:tc>
          <w:tcPr>
            <w:tcW w:w="960" w:type="dxa"/>
            <w:gridSpan w:val="2"/>
            <w:tcBorders>
              <w:top w:val="nil"/>
              <w:left w:val="single" w:sz="8" w:space="0" w:color="auto"/>
              <w:bottom w:val="single" w:sz="8" w:space="0" w:color="auto"/>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 xml:space="preserve">  其他资金</w:t>
            </w:r>
          </w:p>
        </w:tc>
        <w:tc>
          <w:tcPr>
            <w:tcW w:w="700" w:type="dxa"/>
            <w:tcBorders>
              <w:top w:val="nil"/>
              <w:left w:val="single" w:sz="8" w:space="0" w:color="auto"/>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200" w:type="dxa"/>
            <w:gridSpan w:val="2"/>
            <w:tcBorders>
              <w:top w:val="single" w:sz="8" w:space="0" w:color="auto"/>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w:t>
            </w:r>
          </w:p>
        </w:tc>
      </w:tr>
      <w:tr w:rsidR="00E2137C">
        <w:trPr>
          <w:trHeight w:val="240"/>
        </w:trPr>
        <w:tc>
          <w:tcPr>
            <w:tcW w:w="46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年度总体目标</w:t>
            </w:r>
          </w:p>
        </w:tc>
        <w:tc>
          <w:tcPr>
            <w:tcW w:w="3680" w:type="dxa"/>
            <w:gridSpan w:val="6"/>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预期目标</w:t>
            </w:r>
          </w:p>
        </w:tc>
        <w:tc>
          <w:tcPr>
            <w:tcW w:w="3580" w:type="dxa"/>
            <w:gridSpan w:val="4"/>
            <w:tcBorders>
              <w:top w:val="nil"/>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实际完成情况</w:t>
            </w:r>
          </w:p>
        </w:tc>
      </w:tr>
      <w:tr w:rsidR="00E2137C">
        <w:trPr>
          <w:trHeight w:val="1095"/>
        </w:trPr>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3680" w:type="dxa"/>
            <w:gridSpan w:val="6"/>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提升艺术创作能力，打造自治区艺术创作“十四五”规划重点剧目，精心打磨品牌，推广传播草原文化，展示民族魅力。推动地区间文化互动与合作，建立长效人才交流合作培养机制，全面提升公共文化服务水平。开展文艺惠民演出，满足首府观众、基层百姓的愿望与精神文化需求，使百姓真正得到文化惠民的实惠。推动艺术与生活相融合，提高人民群众艺术鉴赏水平。</w:t>
            </w:r>
          </w:p>
        </w:tc>
        <w:tc>
          <w:tcPr>
            <w:tcW w:w="3580" w:type="dxa"/>
            <w:gridSpan w:val="4"/>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提升艺术创作能力，打造自治区艺术创作“十四五”规划重点剧目，精心打磨品牌，推广传播草原文化，展示民族魅力。推动地区间文化互动与合作，建立长效人才交流合作培养机制，全面提升公共文化服务水平。开展文艺惠民演出，满足首府观众、基层百姓的愿望与精神文化需求，使百姓真正得到文化惠民的实惠。推动艺术与生活相融合，提高人民群众艺术鉴赏水平。</w:t>
            </w:r>
          </w:p>
        </w:tc>
      </w:tr>
      <w:tr w:rsidR="00E2137C">
        <w:trPr>
          <w:trHeight w:val="285"/>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绩</w:t>
            </w:r>
          </w:p>
        </w:tc>
        <w:tc>
          <w:tcPr>
            <w:tcW w:w="50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一级</w:t>
            </w:r>
            <w:r>
              <w:rPr>
                <w:rFonts w:hint="eastAsia"/>
                <w:color w:val="000000"/>
                <w:sz w:val="12"/>
                <w:szCs w:val="12"/>
              </w:rPr>
              <w:lastRenderedPageBreak/>
              <w:t>指标</w:t>
            </w:r>
          </w:p>
        </w:tc>
        <w:tc>
          <w:tcPr>
            <w:tcW w:w="106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lastRenderedPageBreak/>
              <w:t>二级指标</w:t>
            </w:r>
          </w:p>
        </w:tc>
        <w:tc>
          <w:tcPr>
            <w:tcW w:w="1560"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三级指标</w:t>
            </w:r>
          </w:p>
        </w:tc>
        <w:tc>
          <w:tcPr>
            <w:tcW w:w="56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年度</w:t>
            </w:r>
            <w:r>
              <w:rPr>
                <w:rFonts w:hint="eastAsia"/>
                <w:color w:val="000000"/>
                <w:sz w:val="12"/>
                <w:szCs w:val="12"/>
              </w:rPr>
              <w:lastRenderedPageBreak/>
              <w:t>指标值</w:t>
            </w:r>
          </w:p>
        </w:tc>
        <w:tc>
          <w:tcPr>
            <w:tcW w:w="100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lastRenderedPageBreak/>
              <w:t>实际完成值</w:t>
            </w:r>
          </w:p>
        </w:tc>
        <w:tc>
          <w:tcPr>
            <w:tcW w:w="82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分值</w:t>
            </w:r>
          </w:p>
        </w:tc>
        <w:tc>
          <w:tcPr>
            <w:tcW w:w="70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得分</w:t>
            </w:r>
          </w:p>
        </w:tc>
        <w:tc>
          <w:tcPr>
            <w:tcW w:w="106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偏差原因分析及</w:t>
            </w:r>
            <w:r>
              <w:rPr>
                <w:rFonts w:hint="eastAsia"/>
                <w:color w:val="000000"/>
                <w:sz w:val="12"/>
                <w:szCs w:val="12"/>
              </w:rPr>
              <w:lastRenderedPageBreak/>
              <w:t>改进措施</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lastRenderedPageBreak/>
              <w:t>效</w:t>
            </w: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lastRenderedPageBreak/>
              <w:t>指</w:t>
            </w:r>
          </w:p>
        </w:tc>
        <w:tc>
          <w:tcPr>
            <w:tcW w:w="500" w:type="dxa"/>
            <w:vMerge w:val="restart"/>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产出指标</w:t>
            </w:r>
          </w:p>
        </w:tc>
        <w:tc>
          <w:tcPr>
            <w:tcW w:w="1060" w:type="dxa"/>
            <w:vMerge w:val="restart"/>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数量指标</w:t>
            </w: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新创排晚会数量</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≥2台</w:t>
            </w:r>
          </w:p>
        </w:tc>
        <w:tc>
          <w:tcPr>
            <w:tcW w:w="100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18（台）部</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标</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新创排剧目数量</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≥2部</w:t>
            </w: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修改提升剧目数量</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≥2部</w:t>
            </w: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75"/>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文艺为民演出预计接待观众人数</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≥18000人次</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40000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90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文艺为民演出场次</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≥150场</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328场</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按照剧院2021年相关计划，扩大为民演出规模，拓展为民演出覆盖面积。</w:t>
            </w:r>
          </w:p>
        </w:tc>
      </w:tr>
      <w:tr w:rsidR="00E2137C">
        <w:trPr>
          <w:trHeight w:val="43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vMerge w:val="restart"/>
            <w:tcBorders>
              <w:top w:val="single" w:sz="8" w:space="0" w:color="auto"/>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质量指标</w:t>
            </w: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文艺为民演出预实际接待观众人次</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≥20000人次</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40000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获得省市区及专业性奖项数</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≥7项</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21项</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4</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演出顺利完成率</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出国留学人员毕业率</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时效指标</w:t>
            </w: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文艺为民演出完成及时率</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4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成本指标</w:t>
            </w: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艺术发展专项资金控制数</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≤2813万元</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2336.27万元</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3</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尚未达到合同支付时间。</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500" w:type="dxa"/>
            <w:vMerge w:val="restart"/>
            <w:tcBorders>
              <w:top w:val="single" w:sz="8" w:space="0" w:color="auto"/>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效益指标</w:t>
            </w: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经济效益指标</w:t>
            </w: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52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vMerge w:val="restart"/>
            <w:tcBorders>
              <w:top w:val="single" w:sz="8" w:space="0" w:color="auto"/>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社会效益指标</w:t>
            </w: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文艺惠民演出接待观众人数增长率</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≥20%</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0" w:type="auto"/>
            <w:vMerge/>
            <w:tcBorders>
              <w:top w:val="single" w:sz="8" w:space="0" w:color="auto"/>
              <w:left w:val="single" w:sz="8" w:space="0" w:color="auto"/>
              <w:bottom w:val="nil"/>
              <w:right w:val="single" w:sz="8" w:space="0" w:color="auto"/>
            </w:tcBorders>
            <w:vAlign w:val="center"/>
            <w:hideMark/>
          </w:tcPr>
          <w:p w:rsidR="00E2137C" w:rsidRDefault="00E2137C">
            <w:pPr>
              <w:rPr>
                <w:color w:val="000000"/>
                <w:sz w:val="12"/>
                <w:szCs w:val="12"/>
              </w:rPr>
            </w:pP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演出媒体报道次数</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≥100次</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220次</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生态效益指标</w:t>
            </w: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可持续影响指标</w:t>
            </w: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演出覆盖艰苦边远地区</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36%</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40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5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满意度</w:t>
            </w: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服务对象满意度指标</w:t>
            </w:r>
          </w:p>
        </w:tc>
        <w:tc>
          <w:tcPr>
            <w:tcW w:w="156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观众弄满意度</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≥85%</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5140" w:type="dxa"/>
            <w:gridSpan w:val="8"/>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总分</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91</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bl>
    <w:p w:rsidR="00E2137C" w:rsidRPr="00C6150B" w:rsidRDefault="00E2137C">
      <w:pPr>
        <w:autoSpaceDE w:val="0"/>
        <w:autoSpaceDN w:val="0"/>
        <w:spacing w:before="100" w:beforeAutospacing="1" w:after="100" w:afterAutospacing="1" w:line="580" w:lineRule="atLeast"/>
        <w:ind w:firstLineChars="200" w:firstLine="640"/>
        <w:rPr>
          <w:rFonts w:ascii="仿宋" w:eastAsia="仿宋" w:hAnsi="仿宋"/>
          <w:color w:val="000000" w:themeColor="text1"/>
          <w:sz w:val="32"/>
          <w:szCs w:val="32"/>
        </w:rPr>
      </w:pPr>
      <w:r w:rsidRPr="00C6150B">
        <w:rPr>
          <w:rFonts w:ascii="仿宋" w:eastAsia="仿宋" w:hAnsi="仿宋" w:cs="Times New Roman"/>
          <w:color w:val="000000" w:themeColor="text1"/>
          <w:sz w:val="32"/>
          <w:szCs w:val="32"/>
        </w:rPr>
        <w:t xml:space="preserve">4. </w:t>
      </w:r>
      <w:r w:rsidRPr="00C6150B">
        <w:rPr>
          <w:rFonts w:ascii="仿宋" w:eastAsia="仿宋" w:hAnsi="仿宋" w:cs="Times New Roman" w:hint="eastAsia"/>
          <w:color w:val="000000" w:themeColor="text1"/>
          <w:sz w:val="32"/>
          <w:szCs w:val="32"/>
        </w:rPr>
        <w:t>业务用房及专用设备运行维护费</w:t>
      </w:r>
      <w:r w:rsidRPr="00C6150B">
        <w:rPr>
          <w:rFonts w:ascii="仿宋" w:eastAsia="仿宋" w:hAnsi="仿宋" w:hint="eastAsia"/>
          <w:color w:val="000000" w:themeColor="text1"/>
          <w:sz w:val="32"/>
          <w:szCs w:val="32"/>
        </w:rPr>
        <w:t>项目自评综述：根据年初设定的绩效目标，项目自评得分90分。全年预算数为2049万元，执行数为2049万元，完成预算的100%。项目绩效目标完成情况：保障剧院大楼和乌兰恰特剧院大楼正常运转，物业人员在岗率为</w:t>
      </w:r>
      <w:r w:rsidRPr="00C6150B">
        <w:rPr>
          <w:rFonts w:ascii="仿宋" w:eastAsia="仿宋" w:hAnsi="仿宋"/>
          <w:color w:val="000000" w:themeColor="text1"/>
          <w:sz w:val="32"/>
          <w:szCs w:val="32"/>
        </w:rPr>
        <w:t>100%</w:t>
      </w:r>
      <w:r w:rsidRPr="00C6150B">
        <w:rPr>
          <w:rFonts w:ascii="仿宋" w:eastAsia="仿宋" w:hAnsi="仿宋" w:hint="eastAsia"/>
          <w:color w:val="000000" w:themeColor="text1"/>
          <w:sz w:val="32"/>
          <w:szCs w:val="32"/>
        </w:rPr>
        <w:t>，全年未发生安全责任事故。水费、电费、燃气费、物业管理费、维修维护等费用支出均在成本控制数之内，产出、效益等核心绩效指标完成情况良好。</w:t>
      </w:r>
    </w:p>
    <w:tbl>
      <w:tblPr>
        <w:tblW w:w="7720" w:type="dxa"/>
        <w:tblInd w:w="93" w:type="dxa"/>
        <w:tblLook w:val="04A0"/>
      </w:tblPr>
      <w:tblGrid>
        <w:gridCol w:w="460"/>
        <w:gridCol w:w="500"/>
        <w:gridCol w:w="1060"/>
        <w:gridCol w:w="220"/>
        <w:gridCol w:w="700"/>
        <w:gridCol w:w="700"/>
        <w:gridCol w:w="560"/>
        <w:gridCol w:w="940"/>
        <w:gridCol w:w="820"/>
        <w:gridCol w:w="700"/>
        <w:gridCol w:w="1060"/>
      </w:tblGrid>
      <w:tr w:rsidR="00E2137C">
        <w:trPr>
          <w:trHeight w:val="405"/>
        </w:trPr>
        <w:tc>
          <w:tcPr>
            <w:tcW w:w="7720" w:type="dxa"/>
            <w:gridSpan w:val="11"/>
            <w:vAlign w:val="center"/>
            <w:hideMark/>
          </w:tcPr>
          <w:p w:rsidR="00E2137C" w:rsidRDefault="00E2137C">
            <w:pPr>
              <w:jc w:val="center"/>
              <w:rPr>
                <w:b/>
                <w:bCs/>
                <w:color w:val="000000"/>
                <w:sz w:val="32"/>
                <w:szCs w:val="32"/>
              </w:rPr>
            </w:pPr>
            <w:r>
              <w:rPr>
                <w:rFonts w:hint="eastAsia"/>
                <w:b/>
                <w:bCs/>
                <w:color w:val="000000"/>
                <w:sz w:val="32"/>
                <w:szCs w:val="32"/>
              </w:rPr>
              <w:t>项目支出绩效自评表</w:t>
            </w:r>
          </w:p>
        </w:tc>
      </w:tr>
      <w:tr w:rsidR="00E2137C">
        <w:trPr>
          <w:trHeight w:val="285"/>
        </w:trPr>
        <w:tc>
          <w:tcPr>
            <w:tcW w:w="7720" w:type="dxa"/>
            <w:gridSpan w:val="11"/>
            <w:tcBorders>
              <w:top w:val="nil"/>
              <w:left w:val="nil"/>
              <w:bottom w:val="single" w:sz="8" w:space="0" w:color="auto"/>
              <w:right w:val="nil"/>
            </w:tcBorders>
            <w:hideMark/>
          </w:tcPr>
          <w:p w:rsidR="00E2137C" w:rsidRDefault="00E2137C">
            <w:pPr>
              <w:jc w:val="center"/>
              <w:rPr>
                <w:color w:val="000000"/>
                <w:sz w:val="22"/>
                <w:szCs w:val="22"/>
              </w:rPr>
            </w:pPr>
            <w:r>
              <w:rPr>
                <w:rFonts w:hint="eastAsia"/>
                <w:color w:val="000000"/>
                <w:sz w:val="22"/>
                <w:szCs w:val="22"/>
              </w:rPr>
              <w:t>（   2021 年度）</w:t>
            </w:r>
          </w:p>
        </w:tc>
      </w:tr>
      <w:tr w:rsidR="00E2137C">
        <w:trPr>
          <w:trHeight w:val="240"/>
        </w:trPr>
        <w:tc>
          <w:tcPr>
            <w:tcW w:w="960" w:type="dxa"/>
            <w:gridSpan w:val="2"/>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项目名称</w:t>
            </w:r>
          </w:p>
        </w:tc>
        <w:tc>
          <w:tcPr>
            <w:tcW w:w="6760" w:type="dxa"/>
            <w:gridSpan w:val="9"/>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业务用房及专用设备运行维护费</w:t>
            </w:r>
          </w:p>
        </w:tc>
      </w:tr>
      <w:tr w:rsidR="00E2137C">
        <w:trPr>
          <w:trHeight w:val="240"/>
        </w:trPr>
        <w:tc>
          <w:tcPr>
            <w:tcW w:w="960" w:type="dxa"/>
            <w:gridSpan w:val="2"/>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主管部门</w:t>
            </w:r>
          </w:p>
        </w:tc>
        <w:tc>
          <w:tcPr>
            <w:tcW w:w="3240" w:type="dxa"/>
            <w:gridSpan w:val="5"/>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自治区文化和旅游厅</w:t>
            </w:r>
          </w:p>
        </w:tc>
        <w:tc>
          <w:tcPr>
            <w:tcW w:w="940" w:type="dxa"/>
            <w:tcBorders>
              <w:top w:val="nil"/>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实施单位</w:t>
            </w:r>
          </w:p>
        </w:tc>
        <w:tc>
          <w:tcPr>
            <w:tcW w:w="2580" w:type="dxa"/>
            <w:gridSpan w:val="3"/>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内蒙古艺术剧院</w:t>
            </w:r>
          </w:p>
        </w:tc>
      </w:tr>
      <w:tr w:rsidR="00E2137C">
        <w:trPr>
          <w:trHeight w:val="240"/>
        </w:trPr>
        <w:tc>
          <w:tcPr>
            <w:tcW w:w="960" w:type="dxa"/>
            <w:gridSpan w:val="2"/>
            <w:tcBorders>
              <w:top w:val="single" w:sz="8" w:space="0" w:color="auto"/>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lastRenderedPageBreak/>
              <w:t>项目资金</w:t>
            </w:r>
          </w:p>
        </w:tc>
        <w:tc>
          <w:tcPr>
            <w:tcW w:w="1280" w:type="dxa"/>
            <w:gridSpan w:val="2"/>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年初预算数</w:t>
            </w:r>
          </w:p>
        </w:tc>
        <w:tc>
          <w:tcPr>
            <w:tcW w:w="1260" w:type="dxa"/>
            <w:gridSpan w:val="2"/>
            <w:tcBorders>
              <w:top w:val="single" w:sz="8" w:space="0" w:color="auto"/>
              <w:left w:val="nil"/>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全年预算数</w:t>
            </w:r>
          </w:p>
        </w:tc>
        <w:tc>
          <w:tcPr>
            <w:tcW w:w="940" w:type="dxa"/>
            <w:vAlign w:val="center"/>
            <w:hideMark/>
          </w:tcPr>
          <w:p w:rsidR="00E2137C" w:rsidRDefault="00E2137C">
            <w:pPr>
              <w:jc w:val="center"/>
              <w:rPr>
                <w:color w:val="000000"/>
                <w:sz w:val="12"/>
                <w:szCs w:val="12"/>
              </w:rPr>
            </w:pPr>
            <w:r>
              <w:rPr>
                <w:rFonts w:hint="eastAsia"/>
                <w:color w:val="000000"/>
                <w:sz w:val="12"/>
                <w:szCs w:val="12"/>
              </w:rPr>
              <w:t>全年执行数</w:t>
            </w:r>
          </w:p>
        </w:tc>
        <w:tc>
          <w:tcPr>
            <w:tcW w:w="820" w:type="dxa"/>
            <w:tcBorders>
              <w:top w:val="nil"/>
              <w:left w:val="single" w:sz="8" w:space="0" w:color="auto"/>
              <w:bottom w:val="nil"/>
              <w:right w:val="nil"/>
            </w:tcBorders>
            <w:vAlign w:val="center"/>
            <w:hideMark/>
          </w:tcPr>
          <w:p w:rsidR="00E2137C" w:rsidRDefault="00E2137C">
            <w:pPr>
              <w:jc w:val="center"/>
              <w:rPr>
                <w:color w:val="000000"/>
                <w:sz w:val="12"/>
                <w:szCs w:val="12"/>
              </w:rPr>
            </w:pPr>
            <w:r>
              <w:rPr>
                <w:rFonts w:hint="eastAsia"/>
                <w:color w:val="000000"/>
                <w:sz w:val="12"/>
                <w:szCs w:val="12"/>
              </w:rPr>
              <w:t>分值</w:t>
            </w:r>
          </w:p>
        </w:tc>
        <w:tc>
          <w:tcPr>
            <w:tcW w:w="70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执行率</w:t>
            </w:r>
          </w:p>
        </w:tc>
        <w:tc>
          <w:tcPr>
            <w:tcW w:w="106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得分</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（万元）</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both"/>
              <w:rPr>
                <w:color w:val="000000"/>
                <w:sz w:val="12"/>
                <w:szCs w:val="12"/>
              </w:rPr>
            </w:pPr>
            <w:r>
              <w:rPr>
                <w:rFonts w:hint="eastAsia"/>
                <w:color w:val="000000"/>
                <w:sz w:val="12"/>
                <w:szCs w:val="12"/>
              </w:rPr>
              <w:t>年度资金总额</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2049</w:t>
            </w:r>
          </w:p>
        </w:tc>
        <w:tc>
          <w:tcPr>
            <w:tcW w:w="126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2049</w:t>
            </w:r>
          </w:p>
        </w:tc>
        <w:tc>
          <w:tcPr>
            <w:tcW w:w="94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2049</w:t>
            </w:r>
          </w:p>
        </w:tc>
        <w:tc>
          <w:tcPr>
            <w:tcW w:w="82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c>
          <w:tcPr>
            <w:tcW w:w="70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100%</w:t>
            </w:r>
          </w:p>
        </w:tc>
        <w:tc>
          <w:tcPr>
            <w:tcW w:w="106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其中：当年财政拨款</w:t>
            </w:r>
          </w:p>
        </w:tc>
        <w:tc>
          <w:tcPr>
            <w:tcW w:w="700" w:type="dxa"/>
            <w:tcBorders>
              <w:top w:val="nil"/>
              <w:left w:val="single" w:sz="8" w:space="0" w:color="auto"/>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2049</w:t>
            </w:r>
          </w:p>
        </w:tc>
        <w:tc>
          <w:tcPr>
            <w:tcW w:w="126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2049</w:t>
            </w:r>
          </w:p>
        </w:tc>
        <w:tc>
          <w:tcPr>
            <w:tcW w:w="94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2049</w:t>
            </w:r>
          </w:p>
        </w:tc>
        <w:tc>
          <w:tcPr>
            <w:tcW w:w="82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c>
          <w:tcPr>
            <w:tcW w:w="70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100%</w:t>
            </w:r>
          </w:p>
        </w:tc>
        <w:tc>
          <w:tcPr>
            <w:tcW w:w="106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 xml:space="preserve">      上年结转资金</w:t>
            </w:r>
          </w:p>
        </w:tc>
        <w:tc>
          <w:tcPr>
            <w:tcW w:w="700" w:type="dxa"/>
            <w:tcBorders>
              <w:top w:val="nil"/>
              <w:left w:val="single" w:sz="8" w:space="0" w:color="auto"/>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126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 xml:space="preserve">　</w:t>
            </w:r>
          </w:p>
        </w:tc>
        <w:tc>
          <w:tcPr>
            <w:tcW w:w="94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82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70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106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r>
      <w:tr w:rsidR="00E2137C">
        <w:trPr>
          <w:trHeight w:val="240"/>
        </w:trPr>
        <w:tc>
          <w:tcPr>
            <w:tcW w:w="960" w:type="dxa"/>
            <w:gridSpan w:val="2"/>
            <w:tcBorders>
              <w:top w:val="nil"/>
              <w:left w:val="single" w:sz="8" w:space="0" w:color="auto"/>
              <w:bottom w:val="single" w:sz="8" w:space="0" w:color="auto"/>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 xml:space="preserve">  其他资金</w:t>
            </w:r>
          </w:p>
        </w:tc>
        <w:tc>
          <w:tcPr>
            <w:tcW w:w="700" w:type="dxa"/>
            <w:tcBorders>
              <w:top w:val="nil"/>
              <w:left w:val="single" w:sz="8" w:space="0" w:color="auto"/>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260" w:type="dxa"/>
            <w:gridSpan w:val="2"/>
            <w:tcBorders>
              <w:top w:val="single" w:sz="8" w:space="0" w:color="auto"/>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w:t>
            </w:r>
          </w:p>
        </w:tc>
      </w:tr>
      <w:tr w:rsidR="00E2137C">
        <w:trPr>
          <w:trHeight w:val="240"/>
        </w:trPr>
        <w:tc>
          <w:tcPr>
            <w:tcW w:w="46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年度总体目标</w:t>
            </w:r>
          </w:p>
        </w:tc>
        <w:tc>
          <w:tcPr>
            <w:tcW w:w="3740" w:type="dxa"/>
            <w:gridSpan w:val="6"/>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预期目标</w:t>
            </w:r>
          </w:p>
        </w:tc>
        <w:tc>
          <w:tcPr>
            <w:tcW w:w="3520" w:type="dxa"/>
            <w:gridSpan w:val="4"/>
            <w:tcBorders>
              <w:top w:val="nil"/>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实际完成情况</w:t>
            </w:r>
          </w:p>
        </w:tc>
      </w:tr>
      <w:tr w:rsidR="00E2137C">
        <w:trPr>
          <w:trHeight w:val="525"/>
        </w:trPr>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3740" w:type="dxa"/>
            <w:gridSpan w:val="6"/>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艺术剧院大楼、乌兰恰特剧院大楼业务用房运转正常，物业服务规范，安全管理责任明晰，国有资产管理严格，达到资产保值目标。</w:t>
            </w:r>
          </w:p>
        </w:tc>
        <w:tc>
          <w:tcPr>
            <w:tcW w:w="3520" w:type="dxa"/>
            <w:gridSpan w:val="4"/>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艺术剧院大楼、乌兰恰特剧院大楼业务用房运转正常，物业服务规范，安全管理责任明晰，国有资产管理严格，达到资产保值目标。</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绩</w:t>
            </w:r>
          </w:p>
        </w:tc>
        <w:tc>
          <w:tcPr>
            <w:tcW w:w="50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一级指标</w:t>
            </w:r>
          </w:p>
        </w:tc>
        <w:tc>
          <w:tcPr>
            <w:tcW w:w="106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二级指标</w:t>
            </w:r>
          </w:p>
        </w:tc>
        <w:tc>
          <w:tcPr>
            <w:tcW w:w="1620"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三级指标</w:t>
            </w:r>
          </w:p>
        </w:tc>
        <w:tc>
          <w:tcPr>
            <w:tcW w:w="56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年度指标值</w:t>
            </w:r>
          </w:p>
        </w:tc>
        <w:tc>
          <w:tcPr>
            <w:tcW w:w="94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实际完成值</w:t>
            </w:r>
          </w:p>
        </w:tc>
        <w:tc>
          <w:tcPr>
            <w:tcW w:w="82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分值</w:t>
            </w:r>
          </w:p>
        </w:tc>
        <w:tc>
          <w:tcPr>
            <w:tcW w:w="70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得分</w:t>
            </w:r>
          </w:p>
        </w:tc>
        <w:tc>
          <w:tcPr>
            <w:tcW w:w="106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偏差原因分析及改进措施</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效</w:t>
            </w: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指</w:t>
            </w:r>
          </w:p>
        </w:tc>
        <w:tc>
          <w:tcPr>
            <w:tcW w:w="500" w:type="dxa"/>
            <w:vMerge w:val="restart"/>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产出指标</w:t>
            </w:r>
          </w:p>
        </w:tc>
        <w:tc>
          <w:tcPr>
            <w:tcW w:w="10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数量指标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物业服务人员在岗率</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vMerge w:val="restart"/>
            <w:tcBorders>
              <w:top w:val="single" w:sz="8" w:space="0" w:color="auto"/>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质量指标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重大安全消防责任事故发生率</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0次</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0次</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维修维护一次验收合格率</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≥85%</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物业服务天数达标率</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vMerge w:val="restart"/>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时效指标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物业服务完成时效</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12月</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12月</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4</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维修维护按时完工率</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≥98%</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资金支付及时率</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tcBorders>
              <w:top w:val="single" w:sz="4" w:space="0" w:color="auto"/>
              <w:left w:val="single" w:sz="4" w:space="0" w:color="auto"/>
              <w:bottom w:val="single" w:sz="4" w:space="0" w:color="auto"/>
              <w:right w:val="single" w:sz="4" w:space="0" w:color="auto"/>
            </w:tcBorders>
            <w:vAlign w:val="center"/>
            <w:hideMark/>
          </w:tcPr>
          <w:p w:rsidR="00E2137C" w:rsidRDefault="00E2137C">
            <w:pPr>
              <w:jc w:val="center"/>
              <w:rPr>
                <w:color w:val="000000"/>
                <w:sz w:val="12"/>
                <w:szCs w:val="12"/>
              </w:rPr>
            </w:pPr>
            <w:r>
              <w:rPr>
                <w:rFonts w:hint="eastAsia"/>
                <w:color w:val="000000"/>
                <w:sz w:val="12"/>
                <w:szCs w:val="12"/>
              </w:rPr>
              <w:t>成本指标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运行经费控制数</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≤2049万元</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2049%</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500" w:type="dxa"/>
            <w:vMerge w:val="restart"/>
            <w:tcBorders>
              <w:top w:val="single" w:sz="8" w:space="0" w:color="auto"/>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效益指标</w:t>
            </w:r>
          </w:p>
        </w:tc>
        <w:tc>
          <w:tcPr>
            <w:tcW w:w="1060" w:type="dxa"/>
            <w:tcBorders>
              <w:top w:val="nil"/>
              <w:left w:val="single" w:sz="4" w:space="0" w:color="auto"/>
              <w:bottom w:val="single" w:sz="4" w:space="0" w:color="auto"/>
              <w:right w:val="single" w:sz="4" w:space="0" w:color="auto"/>
            </w:tcBorders>
            <w:vAlign w:val="center"/>
            <w:hideMark/>
          </w:tcPr>
          <w:p w:rsidR="00E2137C" w:rsidRDefault="00E2137C">
            <w:pPr>
              <w:jc w:val="center"/>
              <w:rPr>
                <w:color w:val="000000"/>
                <w:sz w:val="12"/>
                <w:szCs w:val="12"/>
              </w:rPr>
            </w:pPr>
            <w:r>
              <w:rPr>
                <w:rFonts w:hint="eastAsia"/>
                <w:color w:val="000000"/>
                <w:sz w:val="12"/>
                <w:szCs w:val="12"/>
              </w:rPr>
              <w:t>经济效益指标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46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vMerge w:val="restart"/>
            <w:tcBorders>
              <w:top w:val="nil"/>
              <w:left w:val="single" w:sz="4" w:space="0" w:color="auto"/>
              <w:bottom w:val="single" w:sz="4" w:space="0" w:color="auto"/>
              <w:right w:val="single" w:sz="4" w:space="0" w:color="auto"/>
            </w:tcBorders>
            <w:vAlign w:val="center"/>
            <w:hideMark/>
          </w:tcPr>
          <w:p w:rsidR="00E2137C" w:rsidRDefault="00E2137C">
            <w:pPr>
              <w:jc w:val="center"/>
              <w:rPr>
                <w:color w:val="000000"/>
                <w:sz w:val="12"/>
                <w:szCs w:val="12"/>
              </w:rPr>
            </w:pPr>
            <w:r>
              <w:rPr>
                <w:rFonts w:hint="eastAsia"/>
                <w:color w:val="000000"/>
                <w:sz w:val="12"/>
                <w:szCs w:val="12"/>
              </w:rPr>
              <w:t>社会效益指标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为职工、首府广大人民群众提供工作及观赏文艺演出场所</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8</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46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E2137C" w:rsidRDefault="00E2137C">
            <w:pPr>
              <w:rPr>
                <w:color w:val="000000"/>
                <w:sz w:val="12"/>
                <w:szCs w:val="12"/>
              </w:rPr>
            </w:pP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对房屋、设施的安全性进行维护、保养和检测</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4</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70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E2137C" w:rsidRDefault="00E2137C">
            <w:pPr>
              <w:rPr>
                <w:color w:val="000000"/>
                <w:sz w:val="12"/>
                <w:szCs w:val="12"/>
              </w:rPr>
            </w:pP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提供良好的办公环境和条件，建立完善的水、电、暖管网基础基础设施</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4</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生态效益指标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可持续影响指标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有效保障本单位日常工作</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5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满意度</w:t>
            </w:r>
          </w:p>
        </w:tc>
        <w:tc>
          <w:tcPr>
            <w:tcW w:w="1060" w:type="dxa"/>
            <w:vMerge w:val="restart"/>
            <w:tcBorders>
              <w:top w:val="single" w:sz="8" w:space="0" w:color="auto"/>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服务对象满意度指标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职工满意度</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≥90%</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4</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5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指标</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观众满意度</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≥85%</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4</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single" w:sz="8" w:space="0" w:color="auto"/>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500" w:type="dxa"/>
            <w:tcBorders>
              <w:top w:val="nil"/>
              <w:left w:val="nil"/>
              <w:bottom w:val="single" w:sz="8" w:space="0" w:color="auto"/>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94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5140" w:type="dxa"/>
            <w:gridSpan w:val="8"/>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总分</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90</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bl>
    <w:p w:rsidR="00E2137C" w:rsidRDefault="00E2137C">
      <w:pPr>
        <w:autoSpaceDE w:val="0"/>
        <w:autoSpaceDN w:val="0"/>
        <w:spacing w:before="100" w:beforeAutospacing="1" w:after="100" w:afterAutospacing="1" w:line="580" w:lineRule="atLeast"/>
        <w:ind w:firstLineChars="200" w:firstLine="640"/>
        <w:rPr>
          <w:rFonts w:ascii="仿宋" w:eastAsia="仿宋" w:hAnsi="仿宋"/>
          <w:color w:val="000000" w:themeColor="text1"/>
          <w:sz w:val="32"/>
          <w:szCs w:val="32"/>
        </w:rPr>
      </w:pPr>
      <w:r w:rsidRPr="00C6150B">
        <w:rPr>
          <w:rFonts w:ascii="仿宋" w:eastAsia="仿宋" w:hAnsi="仿宋" w:cs="Times New Roman"/>
          <w:color w:val="000000" w:themeColor="text1"/>
          <w:sz w:val="32"/>
          <w:szCs w:val="32"/>
        </w:rPr>
        <w:t xml:space="preserve">5. </w:t>
      </w:r>
      <w:r w:rsidRPr="00C6150B">
        <w:rPr>
          <w:rFonts w:ascii="仿宋" w:eastAsia="仿宋" w:hAnsi="仿宋" w:hint="eastAsia"/>
          <w:color w:val="000000" w:themeColor="text1"/>
          <w:sz w:val="32"/>
          <w:szCs w:val="32"/>
        </w:rPr>
        <w:t>乌兰恰特大剧院与保利合作运营项目自评综述：根据年初设定的绩效目标，项目自评得分92分。全年预算数为1300万元，执行数为1300万元，完成预算的100%。项目绩效目标完成情况：</w:t>
      </w:r>
      <w:r w:rsidRPr="00C6150B">
        <w:rPr>
          <w:rFonts w:ascii="仿宋" w:eastAsia="仿宋" w:hAnsi="仿宋" w:cs="仿宋_GB2312" w:hint="eastAsia"/>
          <w:color w:val="000000" w:themeColor="text1"/>
          <w:sz w:val="32"/>
          <w:szCs w:val="32"/>
        </w:rPr>
        <w:t>2021年度乌兰恰特共接待演出149场，接待观众总人数10万余人。全年组织自营合作演出117场，其中自营演出97场（A类演出31场、B类演出33场、C类演出33场），合作演出20场，公益活动演出0场,租场演出32场。</w:t>
      </w:r>
      <w:r w:rsidRPr="00C6150B">
        <w:rPr>
          <w:rFonts w:ascii="仿宋" w:eastAsia="仿宋" w:hAnsi="仿宋" w:cs="仿宋_GB2312" w:hint="eastAsia"/>
          <w:color w:val="000000" w:themeColor="text1"/>
          <w:sz w:val="32"/>
          <w:szCs w:val="32"/>
        </w:rPr>
        <w:lastRenderedPageBreak/>
        <w:t>全年装台彩排使用场地70天，演出使用场地127天，共计197天，剧场场地使用率为54%，平均上座率为69%。通过借助保利院线演出资源，引进国内外优秀剧目，进一步在内蒙古地区传播国内外优秀文化，</w:t>
      </w:r>
      <w:r w:rsidRPr="00C6150B">
        <w:rPr>
          <w:rFonts w:ascii="仿宋" w:eastAsia="仿宋" w:hAnsi="仿宋" w:hint="eastAsia"/>
          <w:color w:val="000000" w:themeColor="text1"/>
          <w:sz w:val="32"/>
          <w:szCs w:val="32"/>
        </w:rPr>
        <w:t>产出、效益等核心绩效指标完成情况良好。</w:t>
      </w:r>
    </w:p>
    <w:p w:rsidR="00C743A4" w:rsidRPr="00C6150B" w:rsidRDefault="00C743A4">
      <w:pPr>
        <w:autoSpaceDE w:val="0"/>
        <w:autoSpaceDN w:val="0"/>
        <w:spacing w:before="100" w:beforeAutospacing="1" w:after="100" w:afterAutospacing="1" w:line="580" w:lineRule="atLeast"/>
        <w:ind w:firstLineChars="200" w:firstLine="640"/>
        <w:rPr>
          <w:rFonts w:ascii="仿宋" w:eastAsia="仿宋" w:hAnsi="仿宋"/>
          <w:color w:val="000000" w:themeColor="text1"/>
          <w:sz w:val="32"/>
          <w:szCs w:val="32"/>
        </w:rPr>
      </w:pPr>
    </w:p>
    <w:tbl>
      <w:tblPr>
        <w:tblW w:w="7620" w:type="dxa"/>
        <w:tblInd w:w="93" w:type="dxa"/>
        <w:tblLook w:val="04A0"/>
      </w:tblPr>
      <w:tblGrid>
        <w:gridCol w:w="460"/>
        <w:gridCol w:w="500"/>
        <w:gridCol w:w="1060"/>
        <w:gridCol w:w="220"/>
        <w:gridCol w:w="700"/>
        <w:gridCol w:w="620"/>
        <w:gridCol w:w="560"/>
        <w:gridCol w:w="1100"/>
        <w:gridCol w:w="820"/>
        <w:gridCol w:w="700"/>
        <w:gridCol w:w="880"/>
      </w:tblGrid>
      <w:tr w:rsidR="00E2137C">
        <w:trPr>
          <w:trHeight w:val="405"/>
        </w:trPr>
        <w:tc>
          <w:tcPr>
            <w:tcW w:w="7620" w:type="dxa"/>
            <w:gridSpan w:val="11"/>
            <w:vAlign w:val="center"/>
            <w:hideMark/>
          </w:tcPr>
          <w:p w:rsidR="00E2137C" w:rsidRDefault="00E2137C">
            <w:pPr>
              <w:jc w:val="center"/>
              <w:rPr>
                <w:b/>
                <w:bCs/>
                <w:color w:val="000000"/>
                <w:sz w:val="32"/>
                <w:szCs w:val="32"/>
              </w:rPr>
            </w:pPr>
            <w:r>
              <w:rPr>
                <w:rFonts w:hint="eastAsia"/>
                <w:b/>
                <w:bCs/>
                <w:color w:val="000000"/>
                <w:sz w:val="32"/>
                <w:szCs w:val="32"/>
              </w:rPr>
              <w:t>项目支出绩效自评表</w:t>
            </w:r>
          </w:p>
        </w:tc>
      </w:tr>
      <w:tr w:rsidR="00E2137C">
        <w:trPr>
          <w:trHeight w:val="285"/>
        </w:trPr>
        <w:tc>
          <w:tcPr>
            <w:tcW w:w="7620" w:type="dxa"/>
            <w:gridSpan w:val="11"/>
            <w:tcBorders>
              <w:top w:val="nil"/>
              <w:left w:val="nil"/>
              <w:bottom w:val="single" w:sz="8" w:space="0" w:color="auto"/>
              <w:right w:val="nil"/>
            </w:tcBorders>
            <w:hideMark/>
          </w:tcPr>
          <w:p w:rsidR="00E2137C" w:rsidRDefault="00E2137C">
            <w:pPr>
              <w:jc w:val="center"/>
              <w:rPr>
                <w:color w:val="000000"/>
                <w:sz w:val="22"/>
                <w:szCs w:val="22"/>
              </w:rPr>
            </w:pPr>
            <w:r>
              <w:rPr>
                <w:rFonts w:hint="eastAsia"/>
                <w:color w:val="000000"/>
                <w:sz w:val="22"/>
                <w:szCs w:val="22"/>
              </w:rPr>
              <w:t>（   2021 年度）</w:t>
            </w:r>
          </w:p>
        </w:tc>
      </w:tr>
      <w:tr w:rsidR="00E2137C">
        <w:trPr>
          <w:trHeight w:val="240"/>
        </w:trPr>
        <w:tc>
          <w:tcPr>
            <w:tcW w:w="960" w:type="dxa"/>
            <w:gridSpan w:val="2"/>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项目名称</w:t>
            </w:r>
          </w:p>
        </w:tc>
        <w:tc>
          <w:tcPr>
            <w:tcW w:w="6660" w:type="dxa"/>
            <w:gridSpan w:val="9"/>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乌兰恰特大剧院与保利合作运营</w:t>
            </w:r>
          </w:p>
        </w:tc>
      </w:tr>
      <w:tr w:rsidR="00E2137C">
        <w:trPr>
          <w:trHeight w:val="240"/>
        </w:trPr>
        <w:tc>
          <w:tcPr>
            <w:tcW w:w="960" w:type="dxa"/>
            <w:gridSpan w:val="2"/>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主管部门</w:t>
            </w:r>
          </w:p>
        </w:tc>
        <w:tc>
          <w:tcPr>
            <w:tcW w:w="3160" w:type="dxa"/>
            <w:gridSpan w:val="5"/>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自治区文化和旅游厅</w:t>
            </w:r>
          </w:p>
        </w:tc>
        <w:tc>
          <w:tcPr>
            <w:tcW w:w="1100" w:type="dxa"/>
            <w:tcBorders>
              <w:top w:val="nil"/>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实施单位</w:t>
            </w:r>
          </w:p>
        </w:tc>
        <w:tc>
          <w:tcPr>
            <w:tcW w:w="2400" w:type="dxa"/>
            <w:gridSpan w:val="3"/>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内蒙古艺术剧院</w:t>
            </w:r>
          </w:p>
        </w:tc>
      </w:tr>
      <w:tr w:rsidR="00E2137C">
        <w:trPr>
          <w:trHeight w:val="240"/>
        </w:trPr>
        <w:tc>
          <w:tcPr>
            <w:tcW w:w="960" w:type="dxa"/>
            <w:gridSpan w:val="2"/>
            <w:tcBorders>
              <w:top w:val="single" w:sz="8" w:space="0" w:color="auto"/>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项目资金</w:t>
            </w:r>
          </w:p>
        </w:tc>
        <w:tc>
          <w:tcPr>
            <w:tcW w:w="1280" w:type="dxa"/>
            <w:gridSpan w:val="2"/>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年初预算数</w:t>
            </w:r>
          </w:p>
        </w:tc>
        <w:tc>
          <w:tcPr>
            <w:tcW w:w="1180" w:type="dxa"/>
            <w:gridSpan w:val="2"/>
            <w:tcBorders>
              <w:top w:val="single" w:sz="8" w:space="0" w:color="auto"/>
              <w:left w:val="nil"/>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全年预算数</w:t>
            </w:r>
          </w:p>
        </w:tc>
        <w:tc>
          <w:tcPr>
            <w:tcW w:w="1100" w:type="dxa"/>
            <w:vAlign w:val="center"/>
            <w:hideMark/>
          </w:tcPr>
          <w:p w:rsidR="00E2137C" w:rsidRDefault="00E2137C">
            <w:pPr>
              <w:jc w:val="center"/>
              <w:rPr>
                <w:color w:val="000000"/>
                <w:sz w:val="12"/>
                <w:szCs w:val="12"/>
              </w:rPr>
            </w:pPr>
            <w:r>
              <w:rPr>
                <w:rFonts w:hint="eastAsia"/>
                <w:color w:val="000000"/>
                <w:sz w:val="12"/>
                <w:szCs w:val="12"/>
              </w:rPr>
              <w:t>全年执行数</w:t>
            </w:r>
          </w:p>
        </w:tc>
        <w:tc>
          <w:tcPr>
            <w:tcW w:w="820" w:type="dxa"/>
            <w:tcBorders>
              <w:top w:val="nil"/>
              <w:left w:val="single" w:sz="8" w:space="0" w:color="auto"/>
              <w:bottom w:val="nil"/>
              <w:right w:val="nil"/>
            </w:tcBorders>
            <w:vAlign w:val="center"/>
            <w:hideMark/>
          </w:tcPr>
          <w:p w:rsidR="00E2137C" w:rsidRDefault="00E2137C">
            <w:pPr>
              <w:jc w:val="center"/>
              <w:rPr>
                <w:color w:val="000000"/>
                <w:sz w:val="12"/>
                <w:szCs w:val="12"/>
              </w:rPr>
            </w:pPr>
            <w:r>
              <w:rPr>
                <w:rFonts w:hint="eastAsia"/>
                <w:color w:val="000000"/>
                <w:sz w:val="12"/>
                <w:szCs w:val="12"/>
              </w:rPr>
              <w:t>分值</w:t>
            </w:r>
          </w:p>
        </w:tc>
        <w:tc>
          <w:tcPr>
            <w:tcW w:w="70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执行率</w:t>
            </w:r>
          </w:p>
        </w:tc>
        <w:tc>
          <w:tcPr>
            <w:tcW w:w="88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得分</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（万元）</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both"/>
              <w:rPr>
                <w:color w:val="000000"/>
                <w:sz w:val="12"/>
                <w:szCs w:val="12"/>
              </w:rPr>
            </w:pPr>
            <w:r>
              <w:rPr>
                <w:rFonts w:hint="eastAsia"/>
                <w:color w:val="000000"/>
                <w:sz w:val="12"/>
                <w:szCs w:val="12"/>
              </w:rPr>
              <w:t>年度资金总额</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1300</w:t>
            </w:r>
          </w:p>
        </w:tc>
        <w:tc>
          <w:tcPr>
            <w:tcW w:w="118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1300</w:t>
            </w:r>
          </w:p>
        </w:tc>
        <w:tc>
          <w:tcPr>
            <w:tcW w:w="110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1300</w:t>
            </w:r>
          </w:p>
        </w:tc>
        <w:tc>
          <w:tcPr>
            <w:tcW w:w="82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c>
          <w:tcPr>
            <w:tcW w:w="70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100%</w:t>
            </w:r>
          </w:p>
        </w:tc>
        <w:tc>
          <w:tcPr>
            <w:tcW w:w="88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其中：当年财政拨款</w:t>
            </w:r>
          </w:p>
        </w:tc>
        <w:tc>
          <w:tcPr>
            <w:tcW w:w="700" w:type="dxa"/>
            <w:tcBorders>
              <w:top w:val="nil"/>
              <w:left w:val="single" w:sz="8" w:space="0" w:color="auto"/>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1300</w:t>
            </w:r>
          </w:p>
        </w:tc>
        <w:tc>
          <w:tcPr>
            <w:tcW w:w="118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1300</w:t>
            </w:r>
          </w:p>
        </w:tc>
        <w:tc>
          <w:tcPr>
            <w:tcW w:w="110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1300</w:t>
            </w:r>
          </w:p>
        </w:tc>
        <w:tc>
          <w:tcPr>
            <w:tcW w:w="82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c>
          <w:tcPr>
            <w:tcW w:w="70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100%</w:t>
            </w:r>
          </w:p>
        </w:tc>
        <w:tc>
          <w:tcPr>
            <w:tcW w:w="88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 xml:space="preserve">      上年结转资金</w:t>
            </w:r>
          </w:p>
        </w:tc>
        <w:tc>
          <w:tcPr>
            <w:tcW w:w="700" w:type="dxa"/>
            <w:tcBorders>
              <w:top w:val="nil"/>
              <w:left w:val="single" w:sz="8" w:space="0" w:color="auto"/>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118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 xml:space="preserve">　</w:t>
            </w:r>
          </w:p>
        </w:tc>
        <w:tc>
          <w:tcPr>
            <w:tcW w:w="110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82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70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88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r>
      <w:tr w:rsidR="00E2137C">
        <w:trPr>
          <w:trHeight w:val="240"/>
        </w:trPr>
        <w:tc>
          <w:tcPr>
            <w:tcW w:w="960" w:type="dxa"/>
            <w:gridSpan w:val="2"/>
            <w:tcBorders>
              <w:top w:val="nil"/>
              <w:left w:val="single" w:sz="8" w:space="0" w:color="auto"/>
              <w:bottom w:val="single" w:sz="8" w:space="0" w:color="auto"/>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28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 xml:space="preserve">  其他资金</w:t>
            </w:r>
          </w:p>
        </w:tc>
        <w:tc>
          <w:tcPr>
            <w:tcW w:w="700" w:type="dxa"/>
            <w:tcBorders>
              <w:top w:val="nil"/>
              <w:left w:val="single" w:sz="8" w:space="0" w:color="auto"/>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180" w:type="dxa"/>
            <w:gridSpan w:val="2"/>
            <w:tcBorders>
              <w:top w:val="single" w:sz="8" w:space="0" w:color="auto"/>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w:t>
            </w:r>
          </w:p>
        </w:tc>
      </w:tr>
      <w:tr w:rsidR="00E2137C">
        <w:trPr>
          <w:trHeight w:val="240"/>
        </w:trPr>
        <w:tc>
          <w:tcPr>
            <w:tcW w:w="46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年度总体目标</w:t>
            </w:r>
          </w:p>
        </w:tc>
        <w:tc>
          <w:tcPr>
            <w:tcW w:w="3660" w:type="dxa"/>
            <w:gridSpan w:val="6"/>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预期目标</w:t>
            </w:r>
          </w:p>
        </w:tc>
        <w:tc>
          <w:tcPr>
            <w:tcW w:w="3500" w:type="dxa"/>
            <w:gridSpan w:val="4"/>
            <w:tcBorders>
              <w:top w:val="nil"/>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实际完成情况</w:t>
            </w:r>
          </w:p>
        </w:tc>
      </w:tr>
      <w:tr w:rsidR="00E2137C">
        <w:trPr>
          <w:trHeight w:val="690"/>
        </w:trPr>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3660" w:type="dxa"/>
            <w:gridSpan w:val="6"/>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通过与保利公司合作，在乌兰恰特大剧院举办各类演出，保证剧院的充分利用及运转，满足群众对艺术文化生活的需求。乌兰恰特大剧院设施设备保存完好，运转正常。</w:t>
            </w:r>
          </w:p>
        </w:tc>
        <w:tc>
          <w:tcPr>
            <w:tcW w:w="3500" w:type="dxa"/>
            <w:gridSpan w:val="4"/>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通过与保利公司合作，在乌兰恰特大剧院举办各类演出，保证剧院的充分利用及运转，满足群众对艺术文化生活的需求。乌兰恰特大剧院设施设备保存完好，运转正常。</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绩</w:t>
            </w:r>
          </w:p>
        </w:tc>
        <w:tc>
          <w:tcPr>
            <w:tcW w:w="50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一级指标</w:t>
            </w:r>
          </w:p>
        </w:tc>
        <w:tc>
          <w:tcPr>
            <w:tcW w:w="106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二级指标</w:t>
            </w:r>
          </w:p>
        </w:tc>
        <w:tc>
          <w:tcPr>
            <w:tcW w:w="1540"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三级指标</w:t>
            </w:r>
          </w:p>
        </w:tc>
        <w:tc>
          <w:tcPr>
            <w:tcW w:w="56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年度指标值</w:t>
            </w:r>
          </w:p>
        </w:tc>
        <w:tc>
          <w:tcPr>
            <w:tcW w:w="110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实际完成值</w:t>
            </w:r>
          </w:p>
        </w:tc>
        <w:tc>
          <w:tcPr>
            <w:tcW w:w="82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分值</w:t>
            </w:r>
          </w:p>
        </w:tc>
        <w:tc>
          <w:tcPr>
            <w:tcW w:w="70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得分</w:t>
            </w:r>
          </w:p>
        </w:tc>
        <w:tc>
          <w:tcPr>
            <w:tcW w:w="88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偏差原因分析及改进措施</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效</w:t>
            </w: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r>
      <w:tr w:rsidR="00E2137C">
        <w:trPr>
          <w:trHeight w:val="312"/>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指</w:t>
            </w:r>
          </w:p>
        </w:tc>
        <w:tc>
          <w:tcPr>
            <w:tcW w:w="500" w:type="dxa"/>
            <w:vMerge w:val="restart"/>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产出指标</w:t>
            </w:r>
          </w:p>
        </w:tc>
        <w:tc>
          <w:tcPr>
            <w:tcW w:w="1060" w:type="dxa"/>
            <w:vMerge w:val="restart"/>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数量指标</w:t>
            </w: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A类演出场次</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≥30场</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31场</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12"/>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B类演出场次</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≥40场</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33场</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3</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12"/>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C类演出场次</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≥30场</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33场</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12"/>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标</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合作自营演出场次</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≥100场</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117场</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12"/>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vMerge w:val="restart"/>
            <w:tcBorders>
              <w:top w:val="single" w:sz="8" w:space="0" w:color="auto"/>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质量指标</w:t>
            </w: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安全责任事故</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0次</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0次</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12"/>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single" w:sz="8" w:space="0" w:color="auto"/>
              <w:left w:val="single" w:sz="8" w:space="0" w:color="auto"/>
              <w:bottom w:val="nil"/>
              <w:right w:val="single" w:sz="8" w:space="0" w:color="auto"/>
            </w:tcBorders>
            <w:vAlign w:val="center"/>
            <w:hideMark/>
          </w:tcPr>
          <w:p w:rsidR="00E2137C" w:rsidRDefault="00E2137C">
            <w:pPr>
              <w:rPr>
                <w:color w:val="000000"/>
                <w:sz w:val="12"/>
                <w:szCs w:val="12"/>
              </w:rPr>
            </w:pP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平均上座率</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≥65%</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69%</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12"/>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时效指标</w:t>
            </w: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完成时间</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2021年</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2021年</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12"/>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060" w:type="dxa"/>
            <w:vMerge w:val="restart"/>
            <w:tcBorders>
              <w:top w:val="single" w:sz="8" w:space="0" w:color="auto"/>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成本指标</w:t>
            </w: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成本控制数</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≤1300万元</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1300万元</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12"/>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single" w:sz="8" w:space="0" w:color="auto"/>
              <w:left w:val="single" w:sz="8" w:space="0" w:color="auto"/>
              <w:bottom w:val="nil"/>
              <w:right w:val="single" w:sz="8" w:space="0" w:color="auto"/>
            </w:tcBorders>
            <w:vAlign w:val="center"/>
            <w:hideMark/>
          </w:tcPr>
          <w:p w:rsidR="00E2137C" w:rsidRDefault="00E2137C">
            <w:pPr>
              <w:rPr>
                <w:color w:val="000000"/>
                <w:sz w:val="12"/>
                <w:szCs w:val="12"/>
              </w:rPr>
            </w:pP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平均票价</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≤230元</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167元</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4</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500" w:type="dxa"/>
            <w:vMerge w:val="restart"/>
            <w:tcBorders>
              <w:top w:val="single" w:sz="8" w:space="0" w:color="auto"/>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效益指标</w:t>
            </w: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经济效益指标</w:t>
            </w: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8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社会效益指标</w:t>
            </w: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引进优秀精品剧目，满足广大群众精神文化生活需求，通过保利院线巡演，扩大草原艺术品牌影响力。</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13</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生态效益指标</w:t>
            </w: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698"/>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可持续影响指标</w:t>
            </w: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在内蒙古地区普及国内外传统文化，传播先进文化，丰富首府人民的精神文化生活。</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13</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83"/>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lastRenderedPageBreak/>
              <w:t xml:space="preserve">　</w:t>
            </w:r>
          </w:p>
        </w:tc>
        <w:tc>
          <w:tcPr>
            <w:tcW w:w="5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满意度</w:t>
            </w:r>
          </w:p>
        </w:tc>
        <w:tc>
          <w:tcPr>
            <w:tcW w:w="106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服务对象满意度指标</w:t>
            </w:r>
          </w:p>
        </w:tc>
        <w:tc>
          <w:tcPr>
            <w:tcW w:w="154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观众满意度</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≥85%</w:t>
            </w:r>
          </w:p>
        </w:tc>
        <w:tc>
          <w:tcPr>
            <w:tcW w:w="11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5220" w:type="dxa"/>
            <w:gridSpan w:val="8"/>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总分</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92</w:t>
            </w:r>
          </w:p>
        </w:tc>
        <w:tc>
          <w:tcPr>
            <w:tcW w:w="88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bl>
    <w:p w:rsidR="00E2137C" w:rsidRDefault="00C743A4">
      <w:pPr>
        <w:autoSpaceDE w:val="0"/>
        <w:autoSpaceDN w:val="0"/>
        <w:spacing w:before="100" w:beforeAutospacing="1" w:after="100" w:afterAutospacing="1" w:line="580" w:lineRule="atLeast"/>
        <w:ind w:firstLineChars="200" w:firstLine="640"/>
        <w:rPr>
          <w:rFonts w:ascii="仿宋" w:eastAsia="仿宋" w:hAnsi="仿宋"/>
          <w:color w:val="000000" w:themeColor="text1"/>
          <w:sz w:val="32"/>
          <w:szCs w:val="32"/>
        </w:rPr>
      </w:pPr>
      <w:r>
        <w:rPr>
          <w:rFonts w:ascii="仿宋" w:eastAsia="仿宋" w:hAnsi="仿宋" w:cs="Times New Roman" w:hint="eastAsia"/>
          <w:color w:val="000000" w:themeColor="text1"/>
          <w:sz w:val="32"/>
          <w:szCs w:val="32"/>
        </w:rPr>
        <w:t>6</w:t>
      </w:r>
      <w:r w:rsidR="00E2137C" w:rsidRPr="00C6150B">
        <w:rPr>
          <w:rFonts w:ascii="仿宋" w:eastAsia="仿宋" w:hAnsi="仿宋" w:cs="Times New Roman"/>
          <w:color w:val="000000" w:themeColor="text1"/>
          <w:sz w:val="32"/>
          <w:szCs w:val="32"/>
        </w:rPr>
        <w:t>.</w:t>
      </w:r>
      <w:r w:rsidR="00E2137C" w:rsidRPr="00C6150B">
        <w:rPr>
          <w:rFonts w:ascii="仿宋" w:eastAsia="仿宋" w:hAnsi="仿宋" w:cs="Times New Roman" w:hint="eastAsia"/>
          <w:color w:val="000000" w:themeColor="text1"/>
          <w:sz w:val="32"/>
          <w:szCs w:val="32"/>
        </w:rPr>
        <w:t>旅游发展专项项目</w:t>
      </w:r>
      <w:r w:rsidR="00E2137C" w:rsidRPr="00C6150B">
        <w:rPr>
          <w:rFonts w:ascii="仿宋" w:eastAsia="仿宋" w:hAnsi="仿宋" w:hint="eastAsia"/>
          <w:color w:val="000000" w:themeColor="text1"/>
          <w:sz w:val="32"/>
          <w:szCs w:val="32"/>
        </w:rPr>
        <w:t>自评综述：根据年初设定的绩效目标，项目自评得分86分。全年预算数为864万元，执行数为623.44万元，完成预算的72.16%。项目绩效目标完成情况：</w:t>
      </w:r>
      <w:r w:rsidR="00E2137C" w:rsidRPr="00C6150B">
        <w:rPr>
          <w:rFonts w:ascii="仿宋" w:eastAsia="仿宋" w:hAnsi="仿宋" w:cs="仿宋_GB2312" w:hint="eastAsia"/>
          <w:color w:val="000000" w:themeColor="text1"/>
          <w:sz w:val="32"/>
          <w:szCs w:val="40"/>
        </w:rPr>
        <w:t>“2021年迎新春为民演出系列活动”、</w:t>
      </w:r>
      <w:r w:rsidR="00E2137C" w:rsidRPr="00C6150B">
        <w:rPr>
          <w:rFonts w:ascii="仿宋" w:eastAsia="仿宋" w:hAnsi="仿宋" w:cs="华文中宋" w:hint="eastAsia"/>
          <w:color w:val="000000" w:themeColor="text1"/>
          <w:sz w:val="32"/>
          <w:szCs w:val="32"/>
        </w:rPr>
        <w:t>“人民剧场”演出活动、“乌力格尔精品艺术天天演”活动合计演出351场，其中</w:t>
      </w:r>
      <w:r w:rsidR="00E2137C" w:rsidRPr="00C6150B">
        <w:rPr>
          <w:rFonts w:ascii="仿宋" w:eastAsia="仿宋" w:hAnsi="仿宋" w:cs="仿宋_GB2312" w:hint="eastAsia"/>
          <w:color w:val="000000" w:themeColor="text1"/>
          <w:sz w:val="32"/>
          <w:szCs w:val="40"/>
        </w:rPr>
        <w:t>“2021年迎新春为民演出系列活动”在如意广场、展览馆广场同时进行，演出41场；</w:t>
      </w:r>
      <w:r w:rsidR="00E2137C" w:rsidRPr="00C6150B">
        <w:rPr>
          <w:rFonts w:ascii="仿宋" w:eastAsia="仿宋" w:hAnsi="仿宋" w:cs="华文中宋" w:hint="eastAsia"/>
          <w:color w:val="000000" w:themeColor="text1"/>
          <w:sz w:val="32"/>
          <w:szCs w:val="32"/>
        </w:rPr>
        <w:t>“人民剧场”演出活动</w:t>
      </w:r>
      <w:r w:rsidR="00E2137C" w:rsidRPr="00C6150B">
        <w:rPr>
          <w:rFonts w:ascii="仿宋" w:eastAsia="仿宋" w:hAnsi="仿宋" w:cs="仿宋_GB2312" w:hint="eastAsia"/>
          <w:color w:val="000000" w:themeColor="text1"/>
          <w:sz w:val="32"/>
          <w:szCs w:val="40"/>
        </w:rPr>
        <w:t>由内蒙古自治区文化和旅游厅主办，剧院承办，演出185场；</w:t>
      </w:r>
      <w:r w:rsidR="00E2137C" w:rsidRPr="00C6150B">
        <w:rPr>
          <w:rFonts w:ascii="仿宋" w:eastAsia="仿宋" w:hAnsi="仿宋" w:cs="华文中宋" w:hint="eastAsia"/>
          <w:color w:val="000000" w:themeColor="text1"/>
          <w:sz w:val="32"/>
          <w:szCs w:val="32"/>
        </w:rPr>
        <w:t>“乌力格尔精品艺术天天演”演出125场，</w:t>
      </w:r>
      <w:r w:rsidR="00E2137C" w:rsidRPr="00C6150B">
        <w:rPr>
          <w:rFonts w:ascii="仿宋" w:eastAsia="仿宋" w:hAnsi="仿宋" w:hint="eastAsia"/>
          <w:color w:val="000000" w:themeColor="text1"/>
          <w:sz w:val="32"/>
          <w:szCs w:val="32"/>
        </w:rPr>
        <w:t>产出、效益等核心绩效指标完成情况良好。</w:t>
      </w:r>
    </w:p>
    <w:p w:rsidR="00C743A4" w:rsidRPr="00C6150B" w:rsidRDefault="00C743A4">
      <w:pPr>
        <w:autoSpaceDE w:val="0"/>
        <w:autoSpaceDN w:val="0"/>
        <w:spacing w:before="100" w:beforeAutospacing="1" w:after="100" w:afterAutospacing="1" w:line="580" w:lineRule="atLeast"/>
        <w:ind w:firstLineChars="200" w:firstLine="640"/>
        <w:rPr>
          <w:rFonts w:ascii="仿宋" w:eastAsia="仿宋" w:hAnsi="仿宋"/>
          <w:color w:val="000000" w:themeColor="text1"/>
          <w:sz w:val="32"/>
          <w:szCs w:val="32"/>
        </w:rPr>
      </w:pPr>
    </w:p>
    <w:tbl>
      <w:tblPr>
        <w:tblW w:w="7640" w:type="dxa"/>
        <w:tblInd w:w="93" w:type="dxa"/>
        <w:tblLook w:val="04A0"/>
      </w:tblPr>
      <w:tblGrid>
        <w:gridCol w:w="460"/>
        <w:gridCol w:w="500"/>
        <w:gridCol w:w="920"/>
        <w:gridCol w:w="220"/>
        <w:gridCol w:w="700"/>
        <w:gridCol w:w="700"/>
        <w:gridCol w:w="560"/>
        <w:gridCol w:w="1000"/>
        <w:gridCol w:w="820"/>
        <w:gridCol w:w="700"/>
        <w:gridCol w:w="1060"/>
      </w:tblGrid>
      <w:tr w:rsidR="00E2137C">
        <w:trPr>
          <w:trHeight w:val="405"/>
        </w:trPr>
        <w:tc>
          <w:tcPr>
            <w:tcW w:w="7640" w:type="dxa"/>
            <w:gridSpan w:val="11"/>
            <w:vAlign w:val="center"/>
            <w:hideMark/>
          </w:tcPr>
          <w:p w:rsidR="00E2137C" w:rsidRDefault="00E2137C">
            <w:pPr>
              <w:jc w:val="center"/>
              <w:rPr>
                <w:b/>
                <w:bCs/>
                <w:color w:val="000000"/>
                <w:sz w:val="32"/>
                <w:szCs w:val="32"/>
              </w:rPr>
            </w:pPr>
            <w:r>
              <w:rPr>
                <w:rFonts w:hint="eastAsia"/>
                <w:b/>
                <w:bCs/>
                <w:color w:val="000000"/>
                <w:sz w:val="32"/>
                <w:szCs w:val="32"/>
              </w:rPr>
              <w:t>项目支出绩效自评表</w:t>
            </w:r>
          </w:p>
        </w:tc>
      </w:tr>
      <w:tr w:rsidR="00E2137C">
        <w:trPr>
          <w:trHeight w:val="285"/>
        </w:trPr>
        <w:tc>
          <w:tcPr>
            <w:tcW w:w="7640" w:type="dxa"/>
            <w:gridSpan w:val="11"/>
            <w:tcBorders>
              <w:top w:val="nil"/>
              <w:left w:val="nil"/>
              <w:bottom w:val="single" w:sz="8" w:space="0" w:color="auto"/>
              <w:right w:val="nil"/>
            </w:tcBorders>
            <w:hideMark/>
          </w:tcPr>
          <w:p w:rsidR="00E2137C" w:rsidRDefault="00E2137C">
            <w:pPr>
              <w:jc w:val="center"/>
              <w:rPr>
                <w:color w:val="000000"/>
                <w:sz w:val="22"/>
                <w:szCs w:val="22"/>
              </w:rPr>
            </w:pPr>
            <w:r>
              <w:rPr>
                <w:rFonts w:hint="eastAsia"/>
                <w:color w:val="000000"/>
                <w:sz w:val="22"/>
                <w:szCs w:val="22"/>
              </w:rPr>
              <w:t>（   2021 年度）</w:t>
            </w:r>
          </w:p>
        </w:tc>
      </w:tr>
      <w:tr w:rsidR="00E2137C">
        <w:trPr>
          <w:trHeight w:val="240"/>
        </w:trPr>
        <w:tc>
          <w:tcPr>
            <w:tcW w:w="960" w:type="dxa"/>
            <w:gridSpan w:val="2"/>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项目名称</w:t>
            </w:r>
          </w:p>
        </w:tc>
        <w:tc>
          <w:tcPr>
            <w:tcW w:w="6680" w:type="dxa"/>
            <w:gridSpan w:val="9"/>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旅游发展专项资金</w:t>
            </w:r>
          </w:p>
        </w:tc>
      </w:tr>
      <w:tr w:rsidR="00E2137C">
        <w:trPr>
          <w:trHeight w:val="240"/>
        </w:trPr>
        <w:tc>
          <w:tcPr>
            <w:tcW w:w="960" w:type="dxa"/>
            <w:gridSpan w:val="2"/>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主管部门</w:t>
            </w:r>
          </w:p>
        </w:tc>
        <w:tc>
          <w:tcPr>
            <w:tcW w:w="3100" w:type="dxa"/>
            <w:gridSpan w:val="5"/>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自治区文化好人旅游厅</w:t>
            </w:r>
          </w:p>
        </w:tc>
        <w:tc>
          <w:tcPr>
            <w:tcW w:w="1000" w:type="dxa"/>
            <w:tcBorders>
              <w:top w:val="nil"/>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实施单位</w:t>
            </w:r>
          </w:p>
        </w:tc>
        <w:tc>
          <w:tcPr>
            <w:tcW w:w="2580" w:type="dxa"/>
            <w:gridSpan w:val="3"/>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内蒙古艺术剧院</w:t>
            </w:r>
          </w:p>
        </w:tc>
      </w:tr>
      <w:tr w:rsidR="00E2137C">
        <w:trPr>
          <w:trHeight w:val="240"/>
        </w:trPr>
        <w:tc>
          <w:tcPr>
            <w:tcW w:w="960" w:type="dxa"/>
            <w:gridSpan w:val="2"/>
            <w:tcBorders>
              <w:top w:val="single" w:sz="8" w:space="0" w:color="auto"/>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项目资金</w:t>
            </w:r>
          </w:p>
        </w:tc>
        <w:tc>
          <w:tcPr>
            <w:tcW w:w="1140" w:type="dxa"/>
            <w:gridSpan w:val="2"/>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年初预算数</w:t>
            </w:r>
          </w:p>
        </w:tc>
        <w:tc>
          <w:tcPr>
            <w:tcW w:w="1260" w:type="dxa"/>
            <w:gridSpan w:val="2"/>
            <w:tcBorders>
              <w:top w:val="single" w:sz="8" w:space="0" w:color="auto"/>
              <w:left w:val="nil"/>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全年预算数</w:t>
            </w:r>
          </w:p>
        </w:tc>
        <w:tc>
          <w:tcPr>
            <w:tcW w:w="1000" w:type="dxa"/>
            <w:vAlign w:val="center"/>
            <w:hideMark/>
          </w:tcPr>
          <w:p w:rsidR="00E2137C" w:rsidRDefault="00E2137C">
            <w:pPr>
              <w:jc w:val="center"/>
              <w:rPr>
                <w:color w:val="000000"/>
                <w:sz w:val="12"/>
                <w:szCs w:val="12"/>
              </w:rPr>
            </w:pPr>
            <w:r>
              <w:rPr>
                <w:rFonts w:hint="eastAsia"/>
                <w:color w:val="000000"/>
                <w:sz w:val="12"/>
                <w:szCs w:val="12"/>
              </w:rPr>
              <w:t>全年执行数</w:t>
            </w:r>
          </w:p>
        </w:tc>
        <w:tc>
          <w:tcPr>
            <w:tcW w:w="820" w:type="dxa"/>
            <w:tcBorders>
              <w:top w:val="nil"/>
              <w:left w:val="single" w:sz="8" w:space="0" w:color="auto"/>
              <w:bottom w:val="nil"/>
              <w:right w:val="nil"/>
            </w:tcBorders>
            <w:vAlign w:val="center"/>
            <w:hideMark/>
          </w:tcPr>
          <w:p w:rsidR="00E2137C" w:rsidRDefault="00E2137C">
            <w:pPr>
              <w:jc w:val="center"/>
              <w:rPr>
                <w:color w:val="000000"/>
                <w:sz w:val="12"/>
                <w:szCs w:val="12"/>
              </w:rPr>
            </w:pPr>
            <w:r>
              <w:rPr>
                <w:rFonts w:hint="eastAsia"/>
                <w:color w:val="000000"/>
                <w:sz w:val="12"/>
                <w:szCs w:val="12"/>
              </w:rPr>
              <w:t>分值</w:t>
            </w:r>
          </w:p>
        </w:tc>
        <w:tc>
          <w:tcPr>
            <w:tcW w:w="70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执行率</w:t>
            </w:r>
          </w:p>
        </w:tc>
        <w:tc>
          <w:tcPr>
            <w:tcW w:w="106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得分</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（万元）</w:t>
            </w:r>
          </w:p>
        </w:tc>
        <w:tc>
          <w:tcPr>
            <w:tcW w:w="1140" w:type="dxa"/>
            <w:gridSpan w:val="2"/>
            <w:tcBorders>
              <w:top w:val="single" w:sz="8" w:space="0" w:color="auto"/>
              <w:left w:val="nil"/>
              <w:bottom w:val="single" w:sz="8" w:space="0" w:color="auto"/>
              <w:right w:val="nil"/>
            </w:tcBorders>
            <w:vAlign w:val="center"/>
            <w:hideMark/>
          </w:tcPr>
          <w:p w:rsidR="00E2137C" w:rsidRDefault="00E2137C">
            <w:pPr>
              <w:jc w:val="both"/>
              <w:rPr>
                <w:color w:val="000000"/>
                <w:sz w:val="12"/>
                <w:szCs w:val="12"/>
              </w:rPr>
            </w:pPr>
            <w:r>
              <w:rPr>
                <w:rFonts w:hint="eastAsia"/>
                <w:color w:val="000000"/>
                <w:sz w:val="12"/>
                <w:szCs w:val="12"/>
              </w:rPr>
              <w:t>年度资金总额</w:t>
            </w:r>
          </w:p>
        </w:tc>
        <w:tc>
          <w:tcPr>
            <w:tcW w:w="700" w:type="dxa"/>
            <w:tcBorders>
              <w:top w:val="single" w:sz="8" w:space="0" w:color="auto"/>
              <w:left w:val="single" w:sz="8" w:space="0" w:color="auto"/>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864</w:t>
            </w:r>
          </w:p>
        </w:tc>
        <w:tc>
          <w:tcPr>
            <w:tcW w:w="126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864</w:t>
            </w:r>
          </w:p>
        </w:tc>
        <w:tc>
          <w:tcPr>
            <w:tcW w:w="100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623.44</w:t>
            </w:r>
          </w:p>
        </w:tc>
        <w:tc>
          <w:tcPr>
            <w:tcW w:w="82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c>
          <w:tcPr>
            <w:tcW w:w="70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72.16</w:t>
            </w:r>
          </w:p>
        </w:tc>
        <w:tc>
          <w:tcPr>
            <w:tcW w:w="1060" w:type="dxa"/>
            <w:tcBorders>
              <w:top w:val="single" w:sz="8" w:space="0" w:color="auto"/>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7</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14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其中：当年财政拨款</w:t>
            </w:r>
          </w:p>
        </w:tc>
        <w:tc>
          <w:tcPr>
            <w:tcW w:w="700" w:type="dxa"/>
            <w:tcBorders>
              <w:top w:val="nil"/>
              <w:left w:val="single" w:sz="8" w:space="0" w:color="auto"/>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864</w:t>
            </w:r>
          </w:p>
        </w:tc>
        <w:tc>
          <w:tcPr>
            <w:tcW w:w="126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864</w:t>
            </w:r>
          </w:p>
        </w:tc>
        <w:tc>
          <w:tcPr>
            <w:tcW w:w="100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623.44</w:t>
            </w:r>
          </w:p>
        </w:tc>
        <w:tc>
          <w:tcPr>
            <w:tcW w:w="82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10</w:t>
            </w:r>
          </w:p>
        </w:tc>
        <w:tc>
          <w:tcPr>
            <w:tcW w:w="70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72.16</w:t>
            </w:r>
          </w:p>
        </w:tc>
        <w:tc>
          <w:tcPr>
            <w:tcW w:w="1060" w:type="dxa"/>
            <w:tcBorders>
              <w:top w:val="nil"/>
              <w:left w:val="nil"/>
              <w:bottom w:val="single" w:sz="8" w:space="0" w:color="auto"/>
              <w:right w:val="single" w:sz="8" w:space="0" w:color="auto"/>
            </w:tcBorders>
            <w:noWrap/>
            <w:vAlign w:val="center"/>
            <w:hideMark/>
          </w:tcPr>
          <w:p w:rsidR="00E2137C" w:rsidRDefault="00E2137C">
            <w:pPr>
              <w:jc w:val="right"/>
              <w:rPr>
                <w:sz w:val="12"/>
                <w:szCs w:val="12"/>
              </w:rPr>
            </w:pPr>
            <w:r>
              <w:rPr>
                <w:rFonts w:hint="eastAsia"/>
                <w:sz w:val="12"/>
                <w:szCs w:val="12"/>
              </w:rPr>
              <w:t>7</w:t>
            </w:r>
          </w:p>
        </w:tc>
      </w:tr>
      <w:tr w:rsidR="00E2137C">
        <w:trPr>
          <w:trHeight w:val="240"/>
        </w:trPr>
        <w:tc>
          <w:tcPr>
            <w:tcW w:w="960" w:type="dxa"/>
            <w:gridSpan w:val="2"/>
            <w:tcBorders>
              <w:top w:val="nil"/>
              <w:left w:val="single" w:sz="8" w:space="0" w:color="auto"/>
              <w:bottom w:val="nil"/>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14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 xml:space="preserve">      上年结转资金</w:t>
            </w:r>
          </w:p>
        </w:tc>
        <w:tc>
          <w:tcPr>
            <w:tcW w:w="700" w:type="dxa"/>
            <w:tcBorders>
              <w:top w:val="nil"/>
              <w:left w:val="single" w:sz="8" w:space="0" w:color="auto"/>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1260" w:type="dxa"/>
            <w:gridSpan w:val="2"/>
            <w:tcBorders>
              <w:top w:val="single" w:sz="8" w:space="0" w:color="auto"/>
              <w:left w:val="nil"/>
              <w:bottom w:val="single" w:sz="8" w:space="0" w:color="auto"/>
              <w:right w:val="single" w:sz="8" w:space="0" w:color="auto"/>
            </w:tcBorders>
            <w:noWrap/>
            <w:vAlign w:val="center"/>
            <w:hideMark/>
          </w:tcPr>
          <w:p w:rsidR="00E2137C" w:rsidRDefault="00E2137C">
            <w:pPr>
              <w:jc w:val="center"/>
              <w:rPr>
                <w:sz w:val="12"/>
                <w:szCs w:val="12"/>
              </w:rPr>
            </w:pPr>
            <w:r>
              <w:rPr>
                <w:rFonts w:hint="eastAsia"/>
                <w:sz w:val="12"/>
                <w:szCs w:val="12"/>
              </w:rPr>
              <w:t xml:space="preserve">　</w:t>
            </w:r>
          </w:p>
        </w:tc>
        <w:tc>
          <w:tcPr>
            <w:tcW w:w="100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82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70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c>
          <w:tcPr>
            <w:tcW w:w="1060" w:type="dxa"/>
            <w:tcBorders>
              <w:top w:val="nil"/>
              <w:left w:val="nil"/>
              <w:bottom w:val="single" w:sz="8" w:space="0" w:color="auto"/>
              <w:right w:val="single" w:sz="8" w:space="0" w:color="auto"/>
            </w:tcBorders>
            <w:noWrap/>
            <w:vAlign w:val="center"/>
            <w:hideMark/>
          </w:tcPr>
          <w:p w:rsidR="00E2137C" w:rsidRDefault="00E2137C">
            <w:pPr>
              <w:rPr>
                <w:sz w:val="12"/>
                <w:szCs w:val="12"/>
              </w:rPr>
            </w:pPr>
            <w:r>
              <w:rPr>
                <w:rFonts w:hint="eastAsia"/>
                <w:sz w:val="12"/>
                <w:szCs w:val="12"/>
              </w:rPr>
              <w:t xml:space="preserve">　</w:t>
            </w:r>
          </w:p>
        </w:tc>
      </w:tr>
      <w:tr w:rsidR="00E2137C">
        <w:trPr>
          <w:trHeight w:val="240"/>
        </w:trPr>
        <w:tc>
          <w:tcPr>
            <w:tcW w:w="960" w:type="dxa"/>
            <w:gridSpan w:val="2"/>
            <w:tcBorders>
              <w:top w:val="nil"/>
              <w:left w:val="single" w:sz="8" w:space="0" w:color="auto"/>
              <w:bottom w:val="single" w:sz="8" w:space="0" w:color="auto"/>
              <w:right w:val="single" w:sz="8" w:space="0" w:color="000000"/>
            </w:tcBorders>
            <w:vAlign w:val="center"/>
            <w:hideMark/>
          </w:tcPr>
          <w:p w:rsidR="00E2137C" w:rsidRDefault="00E2137C">
            <w:pPr>
              <w:rPr>
                <w:sz w:val="12"/>
                <w:szCs w:val="12"/>
              </w:rPr>
            </w:pPr>
            <w:r>
              <w:rPr>
                <w:rFonts w:hint="eastAsia"/>
                <w:sz w:val="12"/>
                <w:szCs w:val="12"/>
              </w:rPr>
              <w:t xml:space="preserve">　</w:t>
            </w:r>
          </w:p>
        </w:tc>
        <w:tc>
          <w:tcPr>
            <w:tcW w:w="1140" w:type="dxa"/>
            <w:gridSpan w:val="2"/>
            <w:tcBorders>
              <w:top w:val="single" w:sz="8" w:space="0" w:color="auto"/>
              <w:left w:val="nil"/>
              <w:bottom w:val="single" w:sz="8" w:space="0" w:color="auto"/>
              <w:right w:val="nil"/>
            </w:tcBorders>
            <w:vAlign w:val="center"/>
            <w:hideMark/>
          </w:tcPr>
          <w:p w:rsidR="00E2137C" w:rsidRDefault="00E2137C">
            <w:pPr>
              <w:jc w:val="center"/>
              <w:rPr>
                <w:color w:val="000000"/>
                <w:sz w:val="12"/>
                <w:szCs w:val="12"/>
              </w:rPr>
            </w:pPr>
            <w:r>
              <w:rPr>
                <w:rFonts w:hint="eastAsia"/>
                <w:color w:val="000000"/>
                <w:sz w:val="12"/>
                <w:szCs w:val="12"/>
              </w:rPr>
              <w:t xml:space="preserve">  其他资金</w:t>
            </w:r>
          </w:p>
        </w:tc>
        <w:tc>
          <w:tcPr>
            <w:tcW w:w="700" w:type="dxa"/>
            <w:tcBorders>
              <w:top w:val="nil"/>
              <w:left w:val="single" w:sz="8" w:space="0" w:color="auto"/>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260" w:type="dxa"/>
            <w:gridSpan w:val="2"/>
            <w:tcBorders>
              <w:top w:val="single" w:sz="8" w:space="0" w:color="auto"/>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w:t>
            </w:r>
          </w:p>
        </w:tc>
      </w:tr>
      <w:tr w:rsidR="00E2137C">
        <w:trPr>
          <w:trHeight w:val="240"/>
        </w:trPr>
        <w:tc>
          <w:tcPr>
            <w:tcW w:w="46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年度总体目标</w:t>
            </w:r>
          </w:p>
        </w:tc>
        <w:tc>
          <w:tcPr>
            <w:tcW w:w="3600" w:type="dxa"/>
            <w:gridSpan w:val="6"/>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预期目标</w:t>
            </w:r>
          </w:p>
        </w:tc>
        <w:tc>
          <w:tcPr>
            <w:tcW w:w="3580" w:type="dxa"/>
            <w:gridSpan w:val="4"/>
            <w:tcBorders>
              <w:top w:val="nil"/>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实际完成情况</w:t>
            </w:r>
          </w:p>
        </w:tc>
      </w:tr>
      <w:tr w:rsidR="00E2137C">
        <w:trPr>
          <w:trHeight w:val="1650"/>
        </w:trPr>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3600" w:type="dxa"/>
            <w:gridSpan w:val="6"/>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为深入贯彻落实自治区党委宣传部和文旅厅相关工作部署，由自治区文旅厅主办，剧院组织实施全区传统手工艺和文创旅游精品系列展示活动和全区节假日进景区活动。发挥剧院自身优势，在推动文化和旅游行业复工复产的同时，促进文化和旅游高质量融合发展，让人民群众近距离地享受到艺术魅力，促进全区民族手工艺品、文化创意旅游商品创新，推动文化和旅游高质量融合发展。</w:t>
            </w:r>
          </w:p>
        </w:tc>
        <w:tc>
          <w:tcPr>
            <w:tcW w:w="3580" w:type="dxa"/>
            <w:gridSpan w:val="4"/>
            <w:tcBorders>
              <w:top w:val="single" w:sz="8" w:space="0" w:color="auto"/>
              <w:left w:val="nil"/>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为深入贯彻落实自治区党委宣传部和文旅厅相关工作部署，由自治区文旅厅主办，剧院组织实施全区传统手工艺和文创旅游精品系列展示活动和全区节假日进景区活动。发挥剧院自身优势，在推动文化和旅游行业复工复产的同时，促进文化和旅游高质量融合发展，让人民群众近距离地享受到艺术魅力，促进全区民族手工艺品、文化创意旅游商品创新，推动文化和旅游高质量融合发展。剧院分别组织实施了，“2021年迎新春为民演出系列活动”、2021年度内蒙古自治区文化旅游系列活动“人民剧场”演出活动及“乌力格尔精品艺术天天演”演出活动。</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绩</w:t>
            </w:r>
          </w:p>
        </w:tc>
        <w:tc>
          <w:tcPr>
            <w:tcW w:w="50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一级指标</w:t>
            </w:r>
          </w:p>
        </w:tc>
        <w:tc>
          <w:tcPr>
            <w:tcW w:w="92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二级指标</w:t>
            </w:r>
          </w:p>
        </w:tc>
        <w:tc>
          <w:tcPr>
            <w:tcW w:w="1620"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三级指标</w:t>
            </w:r>
          </w:p>
        </w:tc>
        <w:tc>
          <w:tcPr>
            <w:tcW w:w="56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年度指标值</w:t>
            </w:r>
          </w:p>
        </w:tc>
        <w:tc>
          <w:tcPr>
            <w:tcW w:w="100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实际完成值</w:t>
            </w:r>
          </w:p>
        </w:tc>
        <w:tc>
          <w:tcPr>
            <w:tcW w:w="82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分值</w:t>
            </w:r>
          </w:p>
        </w:tc>
        <w:tc>
          <w:tcPr>
            <w:tcW w:w="70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得分</w:t>
            </w:r>
          </w:p>
        </w:tc>
        <w:tc>
          <w:tcPr>
            <w:tcW w:w="1060" w:type="dxa"/>
            <w:vMerge w:val="restart"/>
            <w:tcBorders>
              <w:top w:val="nil"/>
              <w:left w:val="nil"/>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偏差原因分析及改进措施</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效</w:t>
            </w: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c>
          <w:tcPr>
            <w:tcW w:w="0" w:type="auto"/>
            <w:vMerge/>
            <w:tcBorders>
              <w:top w:val="nil"/>
              <w:left w:val="nil"/>
              <w:bottom w:val="single" w:sz="8" w:space="0" w:color="000000"/>
              <w:right w:val="single" w:sz="8" w:space="0" w:color="auto"/>
            </w:tcBorders>
            <w:vAlign w:val="center"/>
            <w:hideMark/>
          </w:tcPr>
          <w:p w:rsidR="00E2137C" w:rsidRDefault="00E2137C">
            <w:pPr>
              <w:rPr>
                <w:color w:val="000000"/>
                <w:sz w:val="12"/>
                <w:szCs w:val="12"/>
              </w:rPr>
            </w:pPr>
          </w:p>
        </w:tc>
      </w:tr>
      <w:tr w:rsidR="00E2137C">
        <w:trPr>
          <w:trHeight w:val="405"/>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lastRenderedPageBreak/>
              <w:t>指</w:t>
            </w:r>
          </w:p>
        </w:tc>
        <w:tc>
          <w:tcPr>
            <w:tcW w:w="500" w:type="dxa"/>
            <w:vMerge w:val="restart"/>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产出指标</w:t>
            </w:r>
          </w:p>
        </w:tc>
        <w:tc>
          <w:tcPr>
            <w:tcW w:w="920" w:type="dxa"/>
            <w:vMerge w:val="restart"/>
            <w:tcBorders>
              <w:top w:val="nil"/>
              <w:left w:val="single" w:sz="8" w:space="0" w:color="auto"/>
              <w:bottom w:val="single" w:sz="8" w:space="0" w:color="000000"/>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数量指标</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E2137C" w:rsidRDefault="00E2137C">
            <w:pPr>
              <w:rPr>
                <w:color w:val="000000"/>
                <w:sz w:val="12"/>
                <w:szCs w:val="12"/>
              </w:rPr>
            </w:pPr>
            <w:r>
              <w:rPr>
                <w:rFonts w:hint="eastAsia"/>
                <w:color w:val="000000"/>
                <w:sz w:val="12"/>
                <w:szCs w:val="12"/>
              </w:rPr>
              <w:t>全区节假日进景区活动演出场次</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80场</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125场</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405"/>
        </w:trPr>
        <w:tc>
          <w:tcPr>
            <w:tcW w:w="460" w:type="dxa"/>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标</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E2137C" w:rsidRDefault="00E2137C">
            <w:pPr>
              <w:rPr>
                <w:color w:val="000000"/>
                <w:sz w:val="12"/>
                <w:szCs w:val="12"/>
              </w:rPr>
            </w:pPr>
            <w:r>
              <w:rPr>
                <w:rFonts w:hint="eastAsia"/>
                <w:color w:val="000000"/>
                <w:sz w:val="12"/>
                <w:szCs w:val="12"/>
              </w:rPr>
              <w:t>全区传统手工艺和文创旅游精品系列展示活动</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136场</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185场</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rsidR="00E2137C" w:rsidRDefault="00E2137C">
            <w:pPr>
              <w:rPr>
                <w:color w:val="000000"/>
                <w:sz w:val="12"/>
                <w:szCs w:val="12"/>
              </w:rP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E2137C" w:rsidRDefault="00E2137C">
            <w:pPr>
              <w:rPr>
                <w:color w:val="000000"/>
                <w:sz w:val="12"/>
                <w:szCs w:val="12"/>
              </w:rPr>
            </w:pPr>
            <w:r>
              <w:rPr>
                <w:rFonts w:hint="eastAsia"/>
                <w:color w:val="000000"/>
                <w:sz w:val="12"/>
                <w:szCs w:val="12"/>
              </w:rPr>
              <w:t>赴景区演出场次</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40场</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41场</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9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920" w:type="dxa"/>
            <w:vMerge w:val="restart"/>
            <w:tcBorders>
              <w:top w:val="nil"/>
              <w:left w:val="single" w:sz="8" w:space="0" w:color="auto"/>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质量指标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以小分队形式演出，节目短小精悍，具备民族特色</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9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节目内容包含民族歌舞、器乐、曲艺、杂技等</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100%</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469"/>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92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时效指标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完成时间</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6个月</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2月15日-12月31日</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3</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7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nil"/>
              <w:left w:val="single" w:sz="8" w:space="0" w:color="auto"/>
              <w:bottom w:val="nil"/>
              <w:right w:val="single" w:sz="8" w:space="0" w:color="auto"/>
            </w:tcBorders>
            <w:vAlign w:val="center"/>
            <w:hideMark/>
          </w:tcPr>
          <w:p w:rsidR="00E2137C" w:rsidRDefault="00E2137C">
            <w:pPr>
              <w:rPr>
                <w:color w:val="000000"/>
                <w:sz w:val="12"/>
                <w:szCs w:val="12"/>
              </w:rPr>
            </w:pPr>
          </w:p>
        </w:tc>
        <w:tc>
          <w:tcPr>
            <w:tcW w:w="92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成本指标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成本控制数</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≤864万元</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623.44万元</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3</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尚未达到合同约定支付时间。</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500" w:type="dxa"/>
            <w:vMerge w:val="restart"/>
            <w:tcBorders>
              <w:top w:val="single" w:sz="8" w:space="0" w:color="auto"/>
              <w:left w:val="single" w:sz="8" w:space="0" w:color="auto"/>
              <w:bottom w:val="nil"/>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效益指标</w:t>
            </w:r>
          </w:p>
        </w:tc>
        <w:tc>
          <w:tcPr>
            <w:tcW w:w="92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经济效益指标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78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92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社会效益指标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促进文化和旅游高质量融合发展，让民族文化艺术丰富人民生活，满足人民群众对精神文化生活的新要求、新期待</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12</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92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生态效益指标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 xml:space="preserve">　</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7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0" w:type="auto"/>
            <w:vMerge/>
            <w:tcBorders>
              <w:top w:val="single" w:sz="8" w:space="0" w:color="auto"/>
              <w:left w:val="single" w:sz="8" w:space="0" w:color="auto"/>
              <w:bottom w:val="nil"/>
              <w:right w:val="single" w:sz="8" w:space="0" w:color="000000"/>
            </w:tcBorders>
            <w:vAlign w:val="center"/>
            <w:hideMark/>
          </w:tcPr>
          <w:p w:rsidR="00E2137C" w:rsidRDefault="00E2137C">
            <w:pPr>
              <w:rPr>
                <w:color w:val="000000"/>
                <w:sz w:val="12"/>
                <w:szCs w:val="12"/>
              </w:rPr>
            </w:pPr>
          </w:p>
        </w:tc>
        <w:tc>
          <w:tcPr>
            <w:tcW w:w="92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可持续影响指标</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E2137C" w:rsidRDefault="00E2137C">
            <w:pPr>
              <w:rPr>
                <w:color w:val="000000"/>
                <w:sz w:val="12"/>
                <w:szCs w:val="12"/>
              </w:rPr>
            </w:pPr>
            <w:r>
              <w:rPr>
                <w:rFonts w:hint="eastAsia"/>
                <w:color w:val="000000"/>
                <w:sz w:val="12"/>
                <w:szCs w:val="12"/>
              </w:rPr>
              <w:t>让人民群众近距离地享受到艺术魅力</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优</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15</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12</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375"/>
        </w:trPr>
        <w:tc>
          <w:tcPr>
            <w:tcW w:w="460" w:type="dxa"/>
            <w:tcBorders>
              <w:top w:val="nil"/>
              <w:left w:val="single" w:sz="8" w:space="0" w:color="auto"/>
              <w:bottom w:val="nil"/>
              <w:right w:val="single" w:sz="8" w:space="0" w:color="auto"/>
            </w:tcBorders>
            <w:vAlign w:val="center"/>
            <w:hideMark/>
          </w:tcPr>
          <w:p w:rsidR="00E2137C" w:rsidRDefault="00E2137C">
            <w:pPr>
              <w:rPr>
                <w:sz w:val="12"/>
                <w:szCs w:val="12"/>
              </w:rPr>
            </w:pPr>
            <w:r>
              <w:rPr>
                <w:rFonts w:hint="eastAsia"/>
                <w:sz w:val="12"/>
                <w:szCs w:val="12"/>
              </w:rPr>
              <w:t xml:space="preserve">　</w:t>
            </w:r>
          </w:p>
        </w:tc>
        <w:tc>
          <w:tcPr>
            <w:tcW w:w="500" w:type="dxa"/>
            <w:tcBorders>
              <w:top w:val="nil"/>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满意度</w:t>
            </w:r>
          </w:p>
        </w:tc>
        <w:tc>
          <w:tcPr>
            <w:tcW w:w="920" w:type="dxa"/>
            <w:tcBorders>
              <w:top w:val="single" w:sz="8" w:space="0" w:color="auto"/>
              <w:left w:val="nil"/>
              <w:bottom w:val="nil"/>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服务对象满意度指标</w:t>
            </w:r>
          </w:p>
        </w:tc>
        <w:tc>
          <w:tcPr>
            <w:tcW w:w="1620" w:type="dxa"/>
            <w:gridSpan w:val="3"/>
            <w:tcBorders>
              <w:top w:val="single" w:sz="8" w:space="0" w:color="auto"/>
              <w:left w:val="nil"/>
              <w:bottom w:val="single" w:sz="8" w:space="0" w:color="auto"/>
              <w:right w:val="single" w:sz="8" w:space="0" w:color="000000"/>
            </w:tcBorders>
            <w:vAlign w:val="center"/>
            <w:hideMark/>
          </w:tcPr>
          <w:p w:rsidR="00E2137C" w:rsidRDefault="00E2137C">
            <w:pPr>
              <w:rPr>
                <w:color w:val="000000"/>
                <w:sz w:val="12"/>
                <w:szCs w:val="12"/>
              </w:rPr>
            </w:pPr>
            <w:r>
              <w:rPr>
                <w:rFonts w:hint="eastAsia"/>
                <w:color w:val="000000"/>
                <w:sz w:val="12"/>
                <w:szCs w:val="12"/>
              </w:rPr>
              <w:t>观众满意度</w:t>
            </w:r>
          </w:p>
        </w:tc>
        <w:tc>
          <w:tcPr>
            <w:tcW w:w="5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≥90%</w:t>
            </w:r>
          </w:p>
        </w:tc>
        <w:tc>
          <w:tcPr>
            <w:tcW w:w="10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95%</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10</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9</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r w:rsidR="00E2137C">
        <w:trPr>
          <w:trHeight w:val="240"/>
        </w:trPr>
        <w:tc>
          <w:tcPr>
            <w:tcW w:w="5060" w:type="dxa"/>
            <w:gridSpan w:val="8"/>
            <w:tcBorders>
              <w:top w:val="single" w:sz="8" w:space="0" w:color="auto"/>
              <w:left w:val="single" w:sz="8" w:space="0" w:color="auto"/>
              <w:bottom w:val="single" w:sz="8" w:space="0" w:color="auto"/>
              <w:right w:val="single" w:sz="8" w:space="0" w:color="000000"/>
            </w:tcBorders>
            <w:vAlign w:val="center"/>
            <w:hideMark/>
          </w:tcPr>
          <w:p w:rsidR="00E2137C" w:rsidRDefault="00E2137C">
            <w:pPr>
              <w:jc w:val="center"/>
              <w:rPr>
                <w:color w:val="000000"/>
                <w:sz w:val="12"/>
                <w:szCs w:val="12"/>
              </w:rPr>
            </w:pPr>
            <w:r>
              <w:rPr>
                <w:rFonts w:hint="eastAsia"/>
                <w:color w:val="000000"/>
                <w:sz w:val="12"/>
                <w:szCs w:val="12"/>
              </w:rPr>
              <w:t>总分</w:t>
            </w:r>
          </w:p>
        </w:tc>
        <w:tc>
          <w:tcPr>
            <w:tcW w:w="82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c>
          <w:tcPr>
            <w:tcW w:w="70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86</w:t>
            </w:r>
          </w:p>
        </w:tc>
        <w:tc>
          <w:tcPr>
            <w:tcW w:w="1060" w:type="dxa"/>
            <w:tcBorders>
              <w:top w:val="nil"/>
              <w:left w:val="nil"/>
              <w:bottom w:val="single" w:sz="8" w:space="0" w:color="auto"/>
              <w:right w:val="single" w:sz="8" w:space="0" w:color="auto"/>
            </w:tcBorders>
            <w:vAlign w:val="center"/>
            <w:hideMark/>
          </w:tcPr>
          <w:p w:rsidR="00E2137C" w:rsidRDefault="00E2137C">
            <w:pPr>
              <w:jc w:val="center"/>
              <w:rPr>
                <w:color w:val="000000"/>
                <w:sz w:val="12"/>
                <w:szCs w:val="12"/>
              </w:rPr>
            </w:pPr>
            <w:r>
              <w:rPr>
                <w:rFonts w:hint="eastAsia"/>
                <w:color w:val="000000"/>
                <w:sz w:val="12"/>
                <w:szCs w:val="12"/>
              </w:rPr>
              <w:t xml:space="preserve">　</w:t>
            </w:r>
          </w:p>
        </w:tc>
      </w:tr>
    </w:tbl>
    <w:p w:rsidR="00E2137C" w:rsidRPr="002A151E" w:rsidRDefault="00E2137C">
      <w:pPr>
        <w:autoSpaceDE w:val="0"/>
        <w:autoSpaceDN w:val="0"/>
        <w:spacing w:before="100" w:beforeAutospacing="1" w:after="100" w:afterAutospacing="1" w:line="580" w:lineRule="atLeast"/>
        <w:ind w:firstLine="600"/>
        <w:rPr>
          <w:rFonts w:ascii="华文楷体" w:eastAsia="华文楷体" w:hAnsi="华文楷体"/>
          <w:b/>
          <w:sz w:val="32"/>
          <w:szCs w:val="32"/>
        </w:rPr>
      </w:pPr>
      <w:r w:rsidRPr="002A151E">
        <w:rPr>
          <w:rFonts w:ascii="华文楷体" w:eastAsia="华文楷体" w:hAnsi="华文楷体" w:hint="eastAsia"/>
          <w:b/>
          <w:sz w:val="32"/>
          <w:szCs w:val="32"/>
        </w:rPr>
        <w:t>（三）部门评价项目绩效评价结果。</w:t>
      </w:r>
    </w:p>
    <w:p w:rsidR="00E2137C" w:rsidRPr="00C6150B" w:rsidRDefault="00E2137C">
      <w:pPr>
        <w:autoSpaceDE w:val="0"/>
        <w:autoSpaceDN w:val="0"/>
        <w:spacing w:before="100" w:beforeAutospacing="1" w:after="100" w:afterAutospacing="1" w:line="580" w:lineRule="atLeast"/>
        <w:ind w:firstLine="600"/>
        <w:rPr>
          <w:rFonts w:ascii="仿宋" w:eastAsia="仿宋" w:hAnsi="仿宋"/>
          <w:color w:val="000000" w:themeColor="text1"/>
        </w:rPr>
      </w:pPr>
      <w:r w:rsidRPr="00C6150B">
        <w:rPr>
          <w:rFonts w:ascii="仿宋" w:eastAsia="仿宋" w:hAnsi="仿宋" w:hint="eastAsia"/>
          <w:color w:val="000000" w:themeColor="text1"/>
          <w:sz w:val="32"/>
          <w:szCs w:val="32"/>
        </w:rPr>
        <w:t>以</w:t>
      </w:r>
      <w:r w:rsidRPr="00C6150B">
        <w:rPr>
          <w:rFonts w:ascii="仿宋" w:eastAsia="仿宋" w:hAnsi="仿宋" w:cs="Times New Roman"/>
          <w:color w:val="000000" w:themeColor="text1"/>
          <w:sz w:val="32"/>
          <w:szCs w:val="32"/>
        </w:rPr>
        <w:t>“</w:t>
      </w:r>
      <w:r w:rsidR="004B116F" w:rsidRPr="004B116F">
        <w:rPr>
          <w:rFonts w:ascii="仿宋" w:eastAsia="仿宋" w:hAnsi="仿宋" w:hint="eastAsia"/>
          <w:color w:val="000000" w:themeColor="text1"/>
          <w:sz w:val="32"/>
          <w:szCs w:val="32"/>
        </w:rPr>
        <w:t>文化强区和民族文化建设专项</w:t>
      </w:r>
      <w:r w:rsidRPr="00C6150B">
        <w:rPr>
          <w:rFonts w:ascii="仿宋" w:eastAsia="仿宋" w:hAnsi="仿宋" w:cs="Times New Roman"/>
          <w:color w:val="000000" w:themeColor="text1"/>
          <w:sz w:val="32"/>
          <w:szCs w:val="32"/>
        </w:rPr>
        <w:t>”</w:t>
      </w:r>
      <w:r w:rsidRPr="00C6150B">
        <w:rPr>
          <w:rFonts w:ascii="仿宋" w:eastAsia="仿宋" w:hAnsi="仿宋" w:hint="eastAsia"/>
          <w:color w:val="000000" w:themeColor="text1"/>
          <w:sz w:val="32"/>
          <w:szCs w:val="32"/>
        </w:rPr>
        <w:t>项目为例，</w:t>
      </w:r>
      <w:r w:rsidR="00E67257">
        <w:rPr>
          <w:rFonts w:ascii="仿宋" w:eastAsia="仿宋" w:hAnsi="仿宋" w:hint="eastAsia"/>
          <w:color w:val="000000" w:themeColor="text1"/>
          <w:sz w:val="32"/>
          <w:szCs w:val="32"/>
        </w:rPr>
        <w:t>该项目涉及艺术创作和精品生产项目、专业人才培养项目、文化交流项目、文艺惠民演出项目4类、27个子项目，预算金额2,700万元，通过对项目基本情况、资金安排情况、</w:t>
      </w:r>
      <w:r w:rsidR="002E235B">
        <w:rPr>
          <w:rFonts w:ascii="仿宋" w:eastAsia="仿宋" w:hAnsi="仿宋" w:hint="eastAsia"/>
          <w:color w:val="000000" w:themeColor="text1"/>
          <w:sz w:val="32"/>
          <w:szCs w:val="32"/>
        </w:rPr>
        <w:t>实际使用情况、资金及项目管理和生产的综合效益等进行全面评价</w:t>
      </w:r>
      <w:r w:rsidR="00E67257">
        <w:rPr>
          <w:rFonts w:ascii="仿宋" w:eastAsia="仿宋" w:hAnsi="仿宋" w:hint="eastAsia"/>
          <w:color w:val="000000" w:themeColor="text1"/>
          <w:sz w:val="32"/>
          <w:szCs w:val="32"/>
        </w:rPr>
        <w:t>，</w:t>
      </w:r>
      <w:r w:rsidR="002E235B">
        <w:rPr>
          <w:rFonts w:ascii="仿宋" w:eastAsia="仿宋" w:hAnsi="仿宋" w:hint="eastAsia"/>
          <w:color w:val="000000" w:themeColor="text1"/>
          <w:sz w:val="32"/>
          <w:szCs w:val="32"/>
        </w:rPr>
        <w:t>评价结果显示该项目</w:t>
      </w:r>
      <w:r w:rsidR="00E67257">
        <w:rPr>
          <w:rFonts w:ascii="仿宋" w:eastAsia="仿宋" w:hAnsi="仿宋" w:hint="eastAsia"/>
          <w:color w:val="000000" w:themeColor="text1"/>
          <w:sz w:val="32"/>
          <w:szCs w:val="32"/>
        </w:rPr>
        <w:t>在自治区艺术创作和精品生产、公益性演出、艺术人才培养、推动文化交流等方面起到了积极作用</w:t>
      </w:r>
      <w:r w:rsidR="00E67257" w:rsidRPr="00E2137C">
        <w:rPr>
          <w:rFonts w:ascii="仿宋" w:eastAsia="仿宋" w:hAnsi="仿宋" w:hint="eastAsia"/>
          <w:color w:val="000000" w:themeColor="text1"/>
          <w:sz w:val="32"/>
          <w:szCs w:val="32"/>
        </w:rPr>
        <w:t>。</w:t>
      </w:r>
      <w:r w:rsidRPr="00C6150B">
        <w:rPr>
          <w:rFonts w:ascii="仿宋" w:eastAsia="仿宋" w:hAnsi="仿宋" w:hint="eastAsia"/>
          <w:color w:val="000000" w:themeColor="text1"/>
          <w:sz w:val="32"/>
          <w:szCs w:val="32"/>
        </w:rPr>
        <w:t>绩效评价综合得分为</w:t>
      </w:r>
      <w:r w:rsidR="004B116F">
        <w:rPr>
          <w:rFonts w:ascii="仿宋" w:eastAsia="仿宋" w:hAnsi="仿宋" w:hint="eastAsia"/>
          <w:color w:val="000000" w:themeColor="text1"/>
          <w:sz w:val="32"/>
          <w:szCs w:val="32"/>
        </w:rPr>
        <w:t>89</w:t>
      </w:r>
      <w:r w:rsidRPr="00C6150B">
        <w:rPr>
          <w:rFonts w:ascii="仿宋" w:eastAsia="仿宋" w:hAnsi="仿宋" w:hint="eastAsia"/>
          <w:color w:val="000000" w:themeColor="text1"/>
          <w:sz w:val="32"/>
          <w:szCs w:val="32"/>
        </w:rPr>
        <w:t>分，绩效评价结果为</w:t>
      </w:r>
      <w:r w:rsidRPr="00C6150B">
        <w:rPr>
          <w:rFonts w:ascii="仿宋" w:eastAsia="仿宋" w:hAnsi="仿宋" w:cs="Times New Roman"/>
          <w:color w:val="000000" w:themeColor="text1"/>
          <w:sz w:val="32"/>
          <w:szCs w:val="32"/>
        </w:rPr>
        <w:t>“</w:t>
      </w:r>
      <w:r w:rsidR="004B116F">
        <w:rPr>
          <w:rFonts w:ascii="仿宋" w:eastAsia="仿宋" w:hAnsi="仿宋" w:hint="eastAsia"/>
          <w:color w:val="000000" w:themeColor="text1"/>
          <w:sz w:val="32"/>
          <w:szCs w:val="32"/>
        </w:rPr>
        <w:t>良</w:t>
      </w:r>
      <w:r w:rsidRPr="00C6150B">
        <w:rPr>
          <w:rFonts w:ascii="仿宋" w:eastAsia="仿宋" w:hAnsi="仿宋" w:cs="Times New Roman"/>
          <w:color w:val="000000" w:themeColor="text1"/>
          <w:sz w:val="32"/>
          <w:szCs w:val="32"/>
        </w:rPr>
        <w:t>”</w:t>
      </w:r>
      <w:r w:rsidR="004B116F">
        <w:rPr>
          <w:rFonts w:ascii="仿宋" w:eastAsia="仿宋" w:hAnsi="仿宋" w:hint="eastAsia"/>
          <w:color w:val="000000" w:themeColor="text1"/>
          <w:sz w:val="32"/>
          <w:szCs w:val="32"/>
        </w:rPr>
        <w:t>。</w:t>
      </w:r>
    </w:p>
    <w:p w:rsidR="00E2137C" w:rsidRPr="00347629" w:rsidRDefault="00E2137C">
      <w:pPr>
        <w:autoSpaceDE w:val="0"/>
        <w:autoSpaceDN w:val="0"/>
        <w:spacing w:before="100" w:after="100" w:line="580" w:lineRule="atLeast"/>
        <w:ind w:firstLine="600"/>
        <w:rPr>
          <w:rFonts w:ascii="黑体" w:eastAsia="黑体" w:hAnsi="黑体"/>
        </w:rPr>
      </w:pPr>
      <w:r w:rsidRPr="00347629">
        <w:rPr>
          <w:rFonts w:ascii="黑体" w:eastAsia="黑体" w:hAnsi="黑体" w:hint="eastAsia"/>
          <w:b/>
          <w:bCs/>
          <w:sz w:val="32"/>
          <w:szCs w:val="32"/>
        </w:rPr>
        <w:t>第三部分 名词解释</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lastRenderedPageBreak/>
        <w:t>（一）财政拨款收入：指本年度从本级财政部门取得的财政拨款，包括一般公共预算财政拨款、政府性基金预算财政拨款和国有资本经营预算财政拨款。</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（二）事业收入：指事业单位开展专业业务活动及其辅助活动取得的收入；事业单位收到的财政专户实际核拨的教育收费等资金。</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（三）经营收入：指事业单位在专业业务活动及其辅助活动之外开展非独立核算经营活动取得的收入。</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（五）使用非财政拨款结余：指事业单位使用以前年度积累的非财政拨款结余弥补当年收支差额的金额。</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（六）年初结转和结余：指以前年度支出预算因客观条件变化未执行完毕、结转到本年度按有关规定继续使用的资金。</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lastRenderedPageBreak/>
        <w:t>（七）结余分配：指事业单位按照会计制度规定缴纳的所得税以及从非财政拨款结余中提取的职工福利基金、事业基金等。</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（八）年末结转和结余：指单位本年度或以前年度预算安排、因客观条件发生变化未全部执行或未执行，结转到以后年度继续使用的资金，或项目已完成等产生的结余资金。</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（九）基本支出：指为保障机构正常运转、完成日常工作任务而发生的人员经费和公用经费。其中：人员经费指政府收支分类经济科目中的</w:t>
      </w:r>
      <w:r w:rsidRPr="002A151E">
        <w:rPr>
          <w:rFonts w:ascii="仿宋" w:eastAsia="仿宋" w:hAnsi="仿宋" w:cs="Times New Roman"/>
          <w:sz w:val="32"/>
          <w:szCs w:val="32"/>
        </w:rPr>
        <w:t>“</w:t>
      </w:r>
      <w:r w:rsidRPr="002A151E">
        <w:rPr>
          <w:rFonts w:ascii="仿宋" w:eastAsia="仿宋" w:hAnsi="仿宋" w:hint="eastAsia"/>
          <w:sz w:val="32"/>
          <w:szCs w:val="32"/>
        </w:rPr>
        <w:t>工资福利支出</w:t>
      </w:r>
      <w:r w:rsidRPr="002A151E">
        <w:rPr>
          <w:rFonts w:ascii="仿宋" w:eastAsia="仿宋" w:hAnsi="仿宋" w:cs="Times New Roman"/>
          <w:sz w:val="32"/>
          <w:szCs w:val="32"/>
        </w:rPr>
        <w:t>”</w:t>
      </w:r>
      <w:r w:rsidRPr="002A151E">
        <w:rPr>
          <w:rFonts w:ascii="仿宋" w:eastAsia="仿宋" w:hAnsi="仿宋" w:hint="eastAsia"/>
          <w:sz w:val="32"/>
          <w:szCs w:val="32"/>
        </w:rPr>
        <w:t>和</w:t>
      </w:r>
      <w:r w:rsidRPr="002A151E">
        <w:rPr>
          <w:rFonts w:ascii="仿宋" w:eastAsia="仿宋" w:hAnsi="仿宋" w:cs="Times New Roman"/>
          <w:sz w:val="32"/>
          <w:szCs w:val="32"/>
        </w:rPr>
        <w:t>“</w:t>
      </w:r>
      <w:r w:rsidRPr="002A151E">
        <w:rPr>
          <w:rFonts w:ascii="仿宋" w:eastAsia="仿宋" w:hAnsi="仿宋" w:hint="eastAsia"/>
          <w:sz w:val="32"/>
          <w:szCs w:val="32"/>
        </w:rPr>
        <w:t>对个人和家庭的补助</w:t>
      </w:r>
      <w:r w:rsidRPr="002A151E">
        <w:rPr>
          <w:rFonts w:ascii="仿宋" w:eastAsia="仿宋" w:hAnsi="仿宋" w:cs="Times New Roman"/>
          <w:sz w:val="32"/>
          <w:szCs w:val="32"/>
        </w:rPr>
        <w:t>”</w:t>
      </w:r>
      <w:r w:rsidRPr="002A151E">
        <w:rPr>
          <w:rFonts w:ascii="仿宋" w:eastAsia="仿宋" w:hAnsi="仿宋" w:hint="eastAsia"/>
          <w:sz w:val="32"/>
          <w:szCs w:val="32"/>
        </w:rPr>
        <w:t>；公用经费指政府收支分类经济科目中除</w:t>
      </w:r>
      <w:r w:rsidRPr="002A151E">
        <w:rPr>
          <w:rFonts w:ascii="仿宋" w:eastAsia="仿宋" w:hAnsi="仿宋" w:cs="Times New Roman"/>
          <w:sz w:val="32"/>
          <w:szCs w:val="32"/>
        </w:rPr>
        <w:t>“</w:t>
      </w:r>
      <w:r w:rsidRPr="002A151E">
        <w:rPr>
          <w:rFonts w:ascii="仿宋" w:eastAsia="仿宋" w:hAnsi="仿宋" w:hint="eastAsia"/>
          <w:sz w:val="32"/>
          <w:szCs w:val="32"/>
        </w:rPr>
        <w:t>工资福利支出</w:t>
      </w:r>
      <w:r w:rsidRPr="002A151E">
        <w:rPr>
          <w:rFonts w:ascii="仿宋" w:eastAsia="仿宋" w:hAnsi="仿宋" w:cs="Times New Roman"/>
          <w:sz w:val="32"/>
          <w:szCs w:val="32"/>
        </w:rPr>
        <w:t>”</w:t>
      </w:r>
      <w:r w:rsidRPr="002A151E">
        <w:rPr>
          <w:rFonts w:ascii="仿宋" w:eastAsia="仿宋" w:hAnsi="仿宋" w:hint="eastAsia"/>
          <w:sz w:val="32"/>
          <w:szCs w:val="32"/>
        </w:rPr>
        <w:t>和</w:t>
      </w:r>
      <w:r w:rsidRPr="002A151E">
        <w:rPr>
          <w:rFonts w:ascii="仿宋" w:eastAsia="仿宋" w:hAnsi="仿宋" w:cs="Times New Roman"/>
          <w:sz w:val="32"/>
          <w:szCs w:val="32"/>
        </w:rPr>
        <w:t>“</w:t>
      </w:r>
      <w:r w:rsidRPr="002A151E">
        <w:rPr>
          <w:rFonts w:ascii="仿宋" w:eastAsia="仿宋" w:hAnsi="仿宋" w:hint="eastAsia"/>
          <w:sz w:val="32"/>
          <w:szCs w:val="32"/>
        </w:rPr>
        <w:t>对个人和家庭的补助</w:t>
      </w:r>
      <w:r w:rsidRPr="002A151E">
        <w:rPr>
          <w:rFonts w:ascii="仿宋" w:eastAsia="仿宋" w:hAnsi="仿宋" w:cs="Times New Roman"/>
          <w:sz w:val="32"/>
          <w:szCs w:val="32"/>
        </w:rPr>
        <w:t>”</w:t>
      </w:r>
      <w:r w:rsidRPr="002A151E">
        <w:rPr>
          <w:rFonts w:ascii="仿宋" w:eastAsia="仿宋" w:hAnsi="仿宋" w:hint="eastAsia"/>
          <w:sz w:val="32"/>
          <w:szCs w:val="32"/>
        </w:rPr>
        <w:t>外的其他支出。</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（十）项目支出：指在基本支出之外为完成特定任务和事业发展目标所发生的支出。</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（十一）经营支出：指事业单位在专业业务活动及其辅助活动之外开展非独立核算经营活动发生的支出。</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（十二）</w:t>
      </w:r>
      <w:r w:rsidRPr="002A151E">
        <w:rPr>
          <w:rFonts w:ascii="仿宋" w:eastAsia="仿宋" w:hAnsi="仿宋" w:cs="Times New Roman"/>
          <w:sz w:val="32"/>
          <w:szCs w:val="32"/>
        </w:rPr>
        <w:t>“</w:t>
      </w:r>
      <w:r w:rsidRPr="002A151E">
        <w:rPr>
          <w:rFonts w:ascii="仿宋" w:eastAsia="仿宋" w:hAnsi="仿宋" w:hint="eastAsia"/>
          <w:sz w:val="32"/>
          <w:szCs w:val="32"/>
        </w:rPr>
        <w:t>三公</w:t>
      </w:r>
      <w:r w:rsidRPr="002A151E">
        <w:rPr>
          <w:rFonts w:ascii="仿宋" w:eastAsia="仿宋" w:hAnsi="仿宋" w:cs="Times New Roman"/>
          <w:sz w:val="32"/>
          <w:szCs w:val="32"/>
        </w:rPr>
        <w:t>”</w:t>
      </w:r>
      <w:r w:rsidRPr="002A151E">
        <w:rPr>
          <w:rFonts w:ascii="仿宋" w:eastAsia="仿宋" w:hAnsi="仿宋" w:hint="eastAsia"/>
          <w:sz w:val="32"/>
          <w:szCs w:val="32"/>
        </w:rPr>
        <w:t>经费：指用财政拨款安排的因公出国（境）费、公务用车购置及运行维护费、公务接待费。其中，因公出国（境）费反映单位公务出国（境）的国际旅费、国外城市间交通费、住宿费、伙食费、培训费、公杂</w:t>
      </w:r>
      <w:r w:rsidRPr="002A151E">
        <w:rPr>
          <w:rFonts w:ascii="仿宋" w:eastAsia="仿宋" w:hAnsi="仿宋" w:hint="eastAsia"/>
          <w:sz w:val="32"/>
          <w:szCs w:val="32"/>
        </w:rPr>
        <w:lastRenderedPageBreak/>
        <w:t>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十三）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（十四）工资福利支出（支出经济分类科目类级）：反映单位开支的在职职工和编制外长期聘用人员的各类劳动报酬，以及为上述人员缴纳的各项社会保险费等。</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（十五）商品和服务支出（支出经济分类科目类级）：反映单位购买商品和服务的支出（不包括用于购置固定资产的支出、战略性和应急储备支出）。</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（十六）对个人和家庭的补助（支出经济分类科目类级）：反映用于对个人和家庭的补助支出。</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（十七）资本性支出（支出经济分类科目类级）：反映非各级发展与改革部门集中安排的用于购置固定资产、战</w:t>
      </w:r>
      <w:r w:rsidRPr="002A151E">
        <w:rPr>
          <w:rFonts w:ascii="仿宋" w:eastAsia="仿宋" w:hAnsi="仿宋" w:hint="eastAsia"/>
          <w:sz w:val="32"/>
          <w:szCs w:val="32"/>
        </w:rPr>
        <w:lastRenderedPageBreak/>
        <w:t>略性和应急性储备、土地和无形资产，以及构建基础设施、大型修缮和财政支持企业更新改造所发生的支出。</w:t>
      </w:r>
    </w:p>
    <w:p w:rsidR="00E2137C" w:rsidRPr="002A151E" w:rsidRDefault="00E2137C">
      <w:pPr>
        <w:autoSpaceDE w:val="0"/>
        <w:autoSpaceDN w:val="0"/>
        <w:spacing w:before="100" w:after="100" w:line="580" w:lineRule="atLeast"/>
        <w:ind w:firstLine="600"/>
        <w:rPr>
          <w:rFonts w:ascii="仿宋" w:eastAsia="仿宋" w:hAnsi="仿宋"/>
        </w:rPr>
      </w:pPr>
    </w:p>
    <w:p w:rsidR="00E2137C" w:rsidRPr="00BE5022" w:rsidRDefault="00E2137C" w:rsidP="00BE5022">
      <w:pPr>
        <w:autoSpaceDE w:val="0"/>
        <w:autoSpaceDN w:val="0"/>
        <w:spacing w:before="100" w:after="100" w:line="580" w:lineRule="atLeast"/>
        <w:ind w:firstLine="600"/>
        <w:rPr>
          <w:rFonts w:ascii="仿宋" w:eastAsia="仿宋" w:hAnsi="仿宋"/>
          <w:b/>
          <w:bCs/>
          <w:sz w:val="32"/>
          <w:szCs w:val="32"/>
        </w:rPr>
      </w:pPr>
      <w:r w:rsidRPr="002A151E">
        <w:rPr>
          <w:rFonts w:ascii="仿宋" w:eastAsia="仿宋" w:hAnsi="仿宋" w:hint="eastAsia"/>
          <w:b/>
          <w:bCs/>
          <w:sz w:val="32"/>
          <w:szCs w:val="32"/>
        </w:rPr>
        <w:t>第四部分 决算公开联系方式及信息反</w:t>
      </w:r>
      <w:bookmarkStart w:id="0" w:name="_GoBack"/>
      <w:bookmarkEnd w:id="0"/>
      <w:r w:rsidRPr="002A151E">
        <w:rPr>
          <w:rFonts w:ascii="仿宋" w:eastAsia="仿宋" w:hAnsi="仿宋" w:hint="eastAsia"/>
          <w:b/>
          <w:bCs/>
          <w:sz w:val="32"/>
          <w:szCs w:val="32"/>
        </w:rPr>
        <w:t>馈渠道</w:t>
      </w:r>
    </w:p>
    <w:p w:rsidR="00E2137C" w:rsidRPr="002A151E" w:rsidRDefault="00E2137C">
      <w:pPr>
        <w:autoSpaceDE w:val="0"/>
        <w:autoSpaceDN w:val="0"/>
        <w:spacing w:before="100" w:after="100" w:line="580" w:lineRule="atLeast"/>
        <w:ind w:firstLine="600"/>
        <w:rPr>
          <w:rFonts w:ascii="仿宋" w:eastAsia="仿宋" w:hAnsi="仿宋"/>
        </w:rPr>
      </w:pPr>
      <w:r w:rsidRPr="002A151E">
        <w:rPr>
          <w:rFonts w:ascii="仿宋" w:eastAsia="仿宋" w:hAnsi="仿宋" w:hint="eastAsia"/>
          <w:sz w:val="32"/>
          <w:szCs w:val="32"/>
        </w:rPr>
        <w:t>本单位决算公开信息反馈和联系方式：</w:t>
      </w:r>
    </w:p>
    <w:p w:rsidR="00E2137C" w:rsidRPr="003E31E4" w:rsidRDefault="00E2137C">
      <w:pPr>
        <w:autoSpaceDE w:val="0"/>
        <w:autoSpaceDN w:val="0"/>
        <w:spacing w:before="100" w:after="100" w:line="580" w:lineRule="atLeast"/>
        <w:ind w:firstLine="600"/>
        <w:rPr>
          <w:rFonts w:ascii="仿宋" w:eastAsia="仿宋" w:hAnsi="仿宋"/>
        </w:rPr>
      </w:pPr>
      <w:r w:rsidRPr="003E31E4">
        <w:rPr>
          <w:rFonts w:ascii="仿宋" w:eastAsia="仿宋" w:hAnsi="仿宋" w:hint="eastAsia"/>
          <w:sz w:val="32"/>
          <w:szCs w:val="32"/>
        </w:rPr>
        <w:t xml:space="preserve">联系人：刘峰 </w:t>
      </w:r>
      <w:r w:rsidR="00BB5D70">
        <w:rPr>
          <w:rFonts w:ascii="仿宋" w:eastAsia="仿宋" w:hAnsi="仿宋" w:hint="eastAsia"/>
          <w:sz w:val="32"/>
          <w:szCs w:val="32"/>
        </w:rPr>
        <w:t xml:space="preserve">    </w:t>
      </w:r>
      <w:r w:rsidRPr="003E31E4">
        <w:rPr>
          <w:rFonts w:ascii="仿宋" w:eastAsia="仿宋" w:hAnsi="仿宋" w:hint="eastAsia"/>
          <w:sz w:val="32"/>
          <w:szCs w:val="32"/>
        </w:rPr>
        <w:t>联系电话：0471</w:t>
      </w:r>
      <w:r w:rsidRPr="003E31E4">
        <w:rPr>
          <w:rFonts w:ascii="仿宋" w:eastAsia="仿宋" w:hAnsi="仿宋" w:cs="Times New Roman"/>
          <w:sz w:val="32"/>
          <w:szCs w:val="32"/>
        </w:rPr>
        <w:t>-</w:t>
      </w:r>
      <w:r w:rsidRPr="003E31E4">
        <w:rPr>
          <w:rFonts w:ascii="仿宋" w:eastAsia="仿宋" w:hAnsi="仿宋" w:hint="eastAsia"/>
          <w:sz w:val="32"/>
          <w:szCs w:val="32"/>
        </w:rPr>
        <w:t>3946828</w:t>
      </w:r>
    </w:p>
    <w:sectPr w:rsidR="00E2137C" w:rsidRPr="003E31E4" w:rsidSect="006E1B1D">
      <w:pgSz w:w="11915"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C20" w:rsidRDefault="00071C20">
      <w:r>
        <w:separator/>
      </w:r>
    </w:p>
  </w:endnote>
  <w:endnote w:type="continuationSeparator" w:id="1">
    <w:p w:rsidR="00071C20" w:rsidRDefault="00071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C20" w:rsidRDefault="00071C20">
      <w:r>
        <w:separator/>
      </w:r>
    </w:p>
  </w:footnote>
  <w:footnote w:type="continuationSeparator" w:id="1">
    <w:p w:rsidR="00071C20" w:rsidRDefault="00071C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doNotSnapToGridInCell/>
    <w:doNotWrapTextWithPunct/>
    <w:doNotUseEastAsianBreakRules/>
    <w:growAutofit/>
    <w:useFELayout/>
  </w:compat>
  <w:rsids>
    <w:rsidRoot w:val="00DF2BC6"/>
    <w:rsid w:val="00071C20"/>
    <w:rsid w:val="000A44A7"/>
    <w:rsid w:val="000D160D"/>
    <w:rsid w:val="0016194B"/>
    <w:rsid w:val="001F06C2"/>
    <w:rsid w:val="0020425D"/>
    <w:rsid w:val="002A151E"/>
    <w:rsid w:val="002E235B"/>
    <w:rsid w:val="00347629"/>
    <w:rsid w:val="003C0375"/>
    <w:rsid w:val="003E31E4"/>
    <w:rsid w:val="00466547"/>
    <w:rsid w:val="004B116F"/>
    <w:rsid w:val="004D3453"/>
    <w:rsid w:val="00613310"/>
    <w:rsid w:val="00682E61"/>
    <w:rsid w:val="006E1B1D"/>
    <w:rsid w:val="007653A5"/>
    <w:rsid w:val="007A18E6"/>
    <w:rsid w:val="00817324"/>
    <w:rsid w:val="00966CD0"/>
    <w:rsid w:val="00970817"/>
    <w:rsid w:val="00B17334"/>
    <w:rsid w:val="00BB5D70"/>
    <w:rsid w:val="00BE5022"/>
    <w:rsid w:val="00C274A0"/>
    <w:rsid w:val="00C32F81"/>
    <w:rsid w:val="00C6150B"/>
    <w:rsid w:val="00C743A4"/>
    <w:rsid w:val="00C86C46"/>
    <w:rsid w:val="00DF2BC6"/>
    <w:rsid w:val="00E2137C"/>
    <w:rsid w:val="00E30560"/>
    <w:rsid w:val="00E46F61"/>
    <w:rsid w:val="00E67257"/>
    <w:rsid w:val="00EA6013"/>
    <w:rsid w:val="00EB78EC"/>
    <w:rsid w:val="00FA5A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semiHidden="1" w:uiPriority="9" w:qFormat="1"/>
    <w:lsdException w:name="heading 8" w:semiHidden="1" w:uiPriority="9" w:qFormat="1"/>
    <w:lsdException w:name="heading 9" w:semiHidden="1" w:uiPriority="9"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semiHidden="1"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HTML Top of Form" w:semiHidden="1"/>
    <w:lsdException w:name="HTML Bottom of Form" w:semiHidden="1"/>
    <w:lsdException w:name="Outline List 1" w:semiHidden="1"/>
    <w:lsdException w:name="Outline List 2" w:semiHidden="1"/>
    <w:lsdException w:name="Outline List 3" w:semiHidden="1"/>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E1B1D"/>
    <w:rPr>
      <w:rFonts w:ascii="宋体" w:eastAsia="宋体" w:hAnsi="宋体" w:cs="宋体"/>
      <w:sz w:val="24"/>
      <w:szCs w:val="24"/>
    </w:rPr>
  </w:style>
  <w:style w:type="paragraph" w:styleId="1">
    <w:name w:val="heading 1"/>
    <w:basedOn w:val="a"/>
    <w:next w:val="a"/>
    <w:uiPriority w:val="9"/>
    <w:qFormat/>
    <w:rsid w:val="006E1B1D"/>
    <w:pPr>
      <w:spacing w:before="100" w:beforeAutospacing="1" w:after="100" w:afterAutospacing="1"/>
      <w:outlineLvl w:val="0"/>
    </w:pPr>
    <w:rPr>
      <w:b/>
      <w:bCs/>
      <w:kern w:val="44"/>
      <w:sz w:val="48"/>
      <w:szCs w:val="48"/>
    </w:rPr>
  </w:style>
  <w:style w:type="paragraph" w:styleId="2">
    <w:name w:val="heading 2"/>
    <w:basedOn w:val="a"/>
    <w:next w:val="a"/>
    <w:uiPriority w:val="9"/>
    <w:qFormat/>
    <w:rsid w:val="006E1B1D"/>
    <w:pPr>
      <w:spacing w:before="100" w:beforeAutospacing="1" w:after="100" w:afterAutospacing="1"/>
      <w:outlineLvl w:val="1"/>
    </w:pPr>
    <w:rPr>
      <w:b/>
      <w:bCs/>
      <w:sz w:val="36"/>
      <w:szCs w:val="36"/>
    </w:rPr>
  </w:style>
  <w:style w:type="paragraph" w:styleId="3">
    <w:name w:val="heading 3"/>
    <w:basedOn w:val="a"/>
    <w:next w:val="a"/>
    <w:uiPriority w:val="9"/>
    <w:qFormat/>
    <w:rsid w:val="006E1B1D"/>
    <w:pPr>
      <w:spacing w:before="100" w:beforeAutospacing="1" w:after="100" w:afterAutospacing="1"/>
      <w:outlineLvl w:val="2"/>
    </w:pPr>
    <w:rPr>
      <w:b/>
      <w:bCs/>
      <w:sz w:val="27"/>
      <w:szCs w:val="27"/>
    </w:rPr>
  </w:style>
  <w:style w:type="paragraph" w:styleId="4">
    <w:name w:val="heading 4"/>
    <w:basedOn w:val="a"/>
    <w:next w:val="a"/>
    <w:uiPriority w:val="9"/>
    <w:qFormat/>
    <w:rsid w:val="006E1B1D"/>
    <w:pPr>
      <w:spacing w:before="100" w:beforeAutospacing="1" w:after="100" w:afterAutospacing="1"/>
      <w:outlineLvl w:val="3"/>
    </w:pPr>
    <w:rPr>
      <w:b/>
      <w:bCs/>
    </w:rPr>
  </w:style>
  <w:style w:type="paragraph" w:styleId="5">
    <w:name w:val="heading 5"/>
    <w:basedOn w:val="a"/>
    <w:next w:val="a"/>
    <w:uiPriority w:val="9"/>
    <w:qFormat/>
    <w:rsid w:val="006E1B1D"/>
    <w:pPr>
      <w:spacing w:before="100" w:beforeAutospacing="1" w:after="100" w:afterAutospacing="1"/>
      <w:outlineLvl w:val="4"/>
    </w:pPr>
    <w:rPr>
      <w:b/>
      <w:bCs/>
      <w:sz w:val="20"/>
      <w:szCs w:val="20"/>
    </w:rPr>
  </w:style>
  <w:style w:type="paragraph" w:styleId="6">
    <w:name w:val="heading 6"/>
    <w:basedOn w:val="a"/>
    <w:next w:val="a"/>
    <w:uiPriority w:val="9"/>
    <w:qFormat/>
    <w:rsid w:val="006E1B1D"/>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6E1B1D"/>
    <w:rPr>
      <w:rFonts w:ascii="宋体" w:eastAsia="宋体" w:hAnsi="宋体" w:cs="宋体" w:hint="eastAsia"/>
      <w:b/>
      <w:bCs/>
      <w:kern w:val="44"/>
      <w:sz w:val="44"/>
      <w:szCs w:val="44"/>
    </w:rPr>
  </w:style>
  <w:style w:type="character" w:customStyle="1" w:styleId="2Char">
    <w:name w:val="标题 2 Char"/>
    <w:basedOn w:val="a0"/>
    <w:uiPriority w:val="9"/>
    <w:rsid w:val="006E1B1D"/>
    <w:rPr>
      <w:rFonts w:asciiTheme="majorHAnsi" w:eastAsiaTheme="majorEastAsia" w:hAnsiTheme="majorHAnsi" w:cstheme="majorBidi" w:hint="default"/>
      <w:b/>
      <w:bCs/>
      <w:sz w:val="32"/>
      <w:szCs w:val="32"/>
    </w:rPr>
  </w:style>
  <w:style w:type="character" w:customStyle="1" w:styleId="3Char">
    <w:name w:val="标题 3 Char"/>
    <w:basedOn w:val="a0"/>
    <w:uiPriority w:val="9"/>
    <w:rsid w:val="006E1B1D"/>
    <w:rPr>
      <w:rFonts w:ascii="宋体" w:eastAsia="宋体" w:hAnsi="宋体" w:cs="宋体" w:hint="eastAsia"/>
      <w:b/>
      <w:bCs/>
      <w:sz w:val="32"/>
      <w:szCs w:val="32"/>
    </w:rPr>
  </w:style>
  <w:style w:type="character" w:customStyle="1" w:styleId="4Char">
    <w:name w:val="标题 4 Char"/>
    <w:basedOn w:val="a0"/>
    <w:uiPriority w:val="9"/>
    <w:rsid w:val="006E1B1D"/>
    <w:rPr>
      <w:rFonts w:asciiTheme="majorHAnsi" w:eastAsiaTheme="majorEastAsia" w:hAnsiTheme="majorHAnsi" w:cstheme="majorBidi" w:hint="default"/>
      <w:b/>
      <w:bCs/>
      <w:sz w:val="28"/>
      <w:szCs w:val="28"/>
    </w:rPr>
  </w:style>
  <w:style w:type="character" w:customStyle="1" w:styleId="5Char">
    <w:name w:val="标题 5 Char"/>
    <w:basedOn w:val="a0"/>
    <w:uiPriority w:val="9"/>
    <w:rsid w:val="006E1B1D"/>
    <w:rPr>
      <w:rFonts w:ascii="宋体" w:eastAsia="宋体" w:hAnsi="宋体" w:cs="宋体" w:hint="eastAsia"/>
      <w:b/>
      <w:bCs/>
      <w:sz w:val="28"/>
      <w:szCs w:val="28"/>
    </w:rPr>
  </w:style>
  <w:style w:type="character" w:customStyle="1" w:styleId="6Char">
    <w:name w:val="标题 6 Char"/>
    <w:basedOn w:val="a0"/>
    <w:uiPriority w:val="9"/>
    <w:rsid w:val="006E1B1D"/>
    <w:rPr>
      <w:rFonts w:asciiTheme="majorHAnsi" w:eastAsiaTheme="majorEastAsia" w:hAnsiTheme="majorHAnsi" w:cstheme="majorBidi" w:hint="default"/>
      <w:b/>
      <w:bCs/>
      <w:sz w:val="24"/>
      <w:szCs w:val="24"/>
    </w:rPr>
  </w:style>
  <w:style w:type="paragraph" w:styleId="HTML">
    <w:name w:val="HTML Preformatted"/>
    <w:basedOn w:val="a"/>
    <w:uiPriority w:val="99"/>
    <w:semiHidden/>
    <w:unhideWhenUsed/>
    <w:rsid w:val="006E1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uiPriority w:val="99"/>
    <w:rsid w:val="006E1B1D"/>
    <w:rPr>
      <w:rFonts w:ascii="Courier New" w:eastAsia="宋体" w:hAnsi="Courier New" w:cs="Courier New" w:hint="default"/>
    </w:rPr>
  </w:style>
  <w:style w:type="paragraph" w:styleId="a3">
    <w:name w:val="Normal (Web)"/>
    <w:basedOn w:val="a"/>
    <w:uiPriority w:val="99"/>
    <w:semiHidden/>
    <w:unhideWhenUsed/>
    <w:rsid w:val="006E1B1D"/>
    <w:pPr>
      <w:spacing w:before="100" w:beforeAutospacing="1" w:after="100" w:afterAutospacing="1"/>
    </w:pPr>
    <w:rPr>
      <w:rFonts w:ascii="Times New Roman" w:hAnsi="Times New Roman" w:cs="Times New Roman"/>
    </w:rPr>
  </w:style>
  <w:style w:type="paragraph" w:styleId="a4">
    <w:name w:val="header"/>
    <w:basedOn w:val="a"/>
    <w:link w:val="Char"/>
    <w:uiPriority w:val="99"/>
    <w:unhideWhenUsed/>
    <w:rsid w:val="006E1B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6E1B1D"/>
    <w:rPr>
      <w:rFonts w:ascii="宋体" w:eastAsia="宋体" w:hAnsi="宋体" w:cs="宋体" w:hint="eastAsia"/>
      <w:sz w:val="18"/>
      <w:szCs w:val="18"/>
    </w:rPr>
  </w:style>
  <w:style w:type="paragraph" w:styleId="a5">
    <w:name w:val="footer"/>
    <w:basedOn w:val="a"/>
    <w:link w:val="Char0"/>
    <w:uiPriority w:val="99"/>
    <w:unhideWhenUsed/>
    <w:rsid w:val="006E1B1D"/>
    <w:pPr>
      <w:tabs>
        <w:tab w:val="center" w:pos="4153"/>
        <w:tab w:val="right" w:pos="8306"/>
      </w:tabs>
      <w:snapToGrid w:val="0"/>
    </w:pPr>
    <w:rPr>
      <w:sz w:val="18"/>
      <w:szCs w:val="18"/>
    </w:rPr>
  </w:style>
  <w:style w:type="character" w:customStyle="1" w:styleId="Char0">
    <w:name w:val="页脚 Char"/>
    <w:basedOn w:val="a0"/>
    <w:link w:val="a5"/>
    <w:uiPriority w:val="99"/>
    <w:locked/>
    <w:rsid w:val="006E1B1D"/>
    <w:rPr>
      <w:rFonts w:ascii="宋体" w:eastAsia="宋体" w:hAnsi="宋体" w:cs="宋体" w:hint="eastAsia"/>
      <w:sz w:val="18"/>
      <w:szCs w:val="18"/>
    </w:rPr>
  </w:style>
  <w:style w:type="paragraph" w:styleId="a6">
    <w:name w:val="Balloon Text"/>
    <w:basedOn w:val="a"/>
    <w:link w:val="Char1"/>
    <w:uiPriority w:val="99"/>
    <w:semiHidden/>
    <w:unhideWhenUsed/>
    <w:rsid w:val="006E1B1D"/>
    <w:rPr>
      <w:sz w:val="18"/>
      <w:szCs w:val="18"/>
    </w:rPr>
  </w:style>
  <w:style w:type="character" w:customStyle="1" w:styleId="Char1">
    <w:name w:val="批注框文本 Char"/>
    <w:basedOn w:val="a0"/>
    <w:link w:val="a6"/>
    <w:uiPriority w:val="99"/>
    <w:locked/>
    <w:rsid w:val="006E1B1D"/>
    <w:rPr>
      <w:rFonts w:ascii="宋体" w:eastAsia="宋体" w:hAnsi="宋体" w:cs="宋体" w:hint="eastAsia"/>
      <w:sz w:val="18"/>
      <w:szCs w:val="18"/>
    </w:rPr>
  </w:style>
  <w:style w:type="paragraph" w:styleId="a7">
    <w:name w:val="List Paragraph"/>
    <w:basedOn w:val="a"/>
    <w:uiPriority w:val="99"/>
    <w:semiHidden/>
    <w:qFormat/>
    <w:rsid w:val="006E1B1D"/>
    <w:pPr>
      <w:ind w:firstLineChars="200" w:firstLine="420"/>
    </w:pPr>
  </w:style>
  <w:style w:type="paragraph" w:customStyle="1" w:styleId="Heading51">
    <w:name w:val="Heading #5|1"/>
    <w:basedOn w:val="a"/>
    <w:uiPriority w:val="99"/>
    <w:semiHidden/>
    <w:rsid w:val="006E1B1D"/>
    <w:pPr>
      <w:widowControl w:val="0"/>
      <w:spacing w:after="80" w:line="517" w:lineRule="exact"/>
      <w:ind w:firstLine="550"/>
      <w:jc w:val="both"/>
      <w:outlineLvl w:val="4"/>
    </w:pPr>
    <w:rPr>
      <w:b/>
      <w:bCs/>
      <w:kern w:val="2"/>
      <w:sz w:val="30"/>
      <w:szCs w:val="30"/>
      <w:lang w:val="zh-TW" w:eastAsia="zh-TW" w:bidi="zh-TW"/>
    </w:rPr>
  </w:style>
  <w:style w:type="character" w:customStyle="1" w:styleId="10">
    <w:name w:val="10"/>
    <w:basedOn w:val="a0"/>
    <w:rsid w:val="006E1B1D"/>
    <w:rPr>
      <w:rFonts w:ascii="Times New Roman" w:hAnsi="Times New Roman" w:cs="Times New Roman" w:hint="default"/>
    </w:rPr>
  </w:style>
  <w:style w:type="table" w:styleId="a8">
    <w:name w:val="Table Grid"/>
    <w:basedOn w:val="a1"/>
    <w:uiPriority w:val="99"/>
    <w:rsid w:val="007A18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semiHidden="1" w:uiPriority="9" w:qFormat="1"/>
    <w:lsdException w:name="heading 8" w:semiHidden="1" w:uiPriority="9" w:qFormat="1"/>
    <w:lsdException w:name="heading 9" w:semiHidden="1" w:uiPriority="9" w:qFormat="1"/>
    <w:lsdException w:name="toc 1" w:uiPriority="39" w:unhideWhenUsed="0"/>
    <w:lsdException w:name="toc 2" w:uiPriority="39" w:unhideWhenUsed="0"/>
    <w:lsdException w:name="toc 3" w:uiPriority="39" w:unhideWhenUsed="0"/>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semiHidden="1"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HTML Top of Form" w:semiHidden="1"/>
    <w:lsdException w:name="HTML Bottom of Form" w:semiHidden="1"/>
    <w:lsdException w:name="Outline List 1" w:semiHidden="1"/>
    <w:lsdException w:name="Outline List 2" w:semiHidden="1"/>
    <w:lsdException w:name="Outline List 3" w:semiHidden="1"/>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uiPriority w:val="9"/>
    <w:qFormat/>
    <w:pPr>
      <w:spacing w:before="100" w:beforeAutospacing="1" w:after="100" w:afterAutospacing="1"/>
      <w:outlineLvl w:val="0"/>
    </w:pPr>
    <w:rPr>
      <w:b/>
      <w:bCs/>
      <w:kern w:val="44"/>
      <w:sz w:val="48"/>
      <w:szCs w:val="48"/>
    </w:rPr>
  </w:style>
  <w:style w:type="paragraph" w:styleId="2">
    <w:name w:val="heading 2"/>
    <w:basedOn w:val="a"/>
    <w:next w:val="a"/>
    <w:uiPriority w:val="9"/>
    <w:qFormat/>
    <w:pPr>
      <w:spacing w:before="100" w:beforeAutospacing="1" w:after="100" w:afterAutospacing="1"/>
      <w:outlineLvl w:val="1"/>
    </w:pPr>
    <w:rPr>
      <w:b/>
      <w:bCs/>
      <w:sz w:val="36"/>
      <w:szCs w:val="36"/>
    </w:rPr>
  </w:style>
  <w:style w:type="paragraph" w:styleId="3">
    <w:name w:val="heading 3"/>
    <w:basedOn w:val="a"/>
    <w:next w:val="a"/>
    <w:uiPriority w:val="9"/>
    <w:qFormat/>
    <w:pPr>
      <w:spacing w:before="100" w:beforeAutospacing="1" w:after="100" w:afterAutospacing="1"/>
      <w:outlineLvl w:val="2"/>
    </w:pPr>
    <w:rPr>
      <w:b/>
      <w:bCs/>
      <w:sz w:val="27"/>
      <w:szCs w:val="27"/>
    </w:rPr>
  </w:style>
  <w:style w:type="paragraph" w:styleId="4">
    <w:name w:val="heading 4"/>
    <w:basedOn w:val="a"/>
    <w:next w:val="a"/>
    <w:uiPriority w:val="9"/>
    <w:qFormat/>
    <w:pPr>
      <w:spacing w:before="100" w:beforeAutospacing="1" w:after="100" w:afterAutospacing="1"/>
      <w:outlineLvl w:val="3"/>
    </w:pPr>
    <w:rPr>
      <w:b/>
      <w:bCs/>
    </w:rPr>
  </w:style>
  <w:style w:type="paragraph" w:styleId="5">
    <w:name w:val="heading 5"/>
    <w:basedOn w:val="a"/>
    <w:next w:val="a"/>
    <w:uiPriority w:val="9"/>
    <w:qFormat/>
    <w:pPr>
      <w:spacing w:before="100" w:beforeAutospacing="1" w:after="100" w:afterAutospacing="1"/>
      <w:outlineLvl w:val="4"/>
    </w:pPr>
    <w:rPr>
      <w:b/>
      <w:bCs/>
      <w:sz w:val="20"/>
      <w:szCs w:val="20"/>
    </w:rPr>
  </w:style>
  <w:style w:type="paragraph" w:styleId="6">
    <w:name w:val="heading 6"/>
    <w:basedOn w:val="a"/>
    <w:next w:val="a"/>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Pr>
      <w:rFonts w:ascii="宋体" w:eastAsia="宋体" w:hAnsi="宋体" w:cs="宋体" w:hint="eastAsia"/>
      <w:b/>
      <w:bCs/>
      <w:kern w:val="44"/>
      <w:sz w:val="44"/>
      <w:szCs w:val="44"/>
    </w:rPr>
  </w:style>
  <w:style w:type="character" w:customStyle="1" w:styleId="2Char">
    <w:name w:val="标题 2 Char"/>
    <w:basedOn w:val="a0"/>
    <w:uiPriority w:val="9"/>
    <w:rPr>
      <w:rFonts w:asciiTheme="majorHAnsi" w:eastAsiaTheme="majorEastAsia" w:hAnsiTheme="majorHAnsi" w:cstheme="majorBidi" w:hint="default"/>
      <w:b/>
      <w:bCs/>
      <w:sz w:val="32"/>
      <w:szCs w:val="32"/>
    </w:rPr>
  </w:style>
  <w:style w:type="character" w:customStyle="1" w:styleId="3Char">
    <w:name w:val="标题 3 Char"/>
    <w:basedOn w:val="a0"/>
    <w:uiPriority w:val="9"/>
    <w:rPr>
      <w:rFonts w:ascii="宋体" w:eastAsia="宋体" w:hAnsi="宋体" w:cs="宋体" w:hint="eastAsia"/>
      <w:b/>
      <w:bCs/>
      <w:sz w:val="32"/>
      <w:szCs w:val="32"/>
    </w:rPr>
  </w:style>
  <w:style w:type="character" w:customStyle="1" w:styleId="4Char">
    <w:name w:val="标题 4 Char"/>
    <w:basedOn w:val="a0"/>
    <w:uiPriority w:val="9"/>
    <w:rPr>
      <w:rFonts w:asciiTheme="majorHAnsi" w:eastAsiaTheme="majorEastAsia" w:hAnsiTheme="majorHAnsi" w:cstheme="majorBidi" w:hint="default"/>
      <w:b/>
      <w:bCs/>
      <w:sz w:val="28"/>
      <w:szCs w:val="28"/>
    </w:rPr>
  </w:style>
  <w:style w:type="character" w:customStyle="1" w:styleId="5Char">
    <w:name w:val="标题 5 Char"/>
    <w:basedOn w:val="a0"/>
    <w:uiPriority w:val="9"/>
    <w:rPr>
      <w:rFonts w:ascii="宋体" w:eastAsia="宋体" w:hAnsi="宋体" w:cs="宋体" w:hint="eastAsia"/>
      <w:b/>
      <w:bCs/>
      <w:sz w:val="28"/>
      <w:szCs w:val="28"/>
    </w:rPr>
  </w:style>
  <w:style w:type="character" w:customStyle="1" w:styleId="6Char">
    <w:name w:val="标题 6 Char"/>
    <w:basedOn w:val="a0"/>
    <w:uiPriority w:val="9"/>
    <w:rPr>
      <w:rFonts w:asciiTheme="majorHAnsi" w:eastAsiaTheme="majorEastAsia" w:hAnsiTheme="majorHAnsi" w:cstheme="majorBidi" w:hint="default"/>
      <w:b/>
      <w:bCs/>
      <w:sz w:val="24"/>
      <w:szCs w:val="24"/>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uiPriority w:val="99"/>
    <w:rPr>
      <w:rFonts w:ascii="Courier New" w:eastAsia="宋体" w:hAnsi="Courier New" w:cs="Courier New" w:hint="default"/>
    </w:rPr>
  </w:style>
  <w:style w:type="paragraph" w:styleId="a3">
    <w:name w:val="Normal (Web)"/>
    <w:basedOn w:val="a"/>
    <w:uiPriority w:val="99"/>
    <w:semiHidden/>
    <w:unhideWhenUsed/>
    <w:pPr>
      <w:spacing w:before="100" w:beforeAutospacing="1" w:after="100" w:afterAutospacing="1"/>
    </w:pPr>
    <w:rPr>
      <w:rFonts w:ascii="Times New Roman" w:hAnsi="Times New Roman" w:cs="Times New Roman"/>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Pr>
      <w:rFonts w:ascii="宋体" w:eastAsia="宋体" w:hAnsi="宋体" w:cs="宋体" w:hint="eastAsia"/>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character" w:customStyle="1" w:styleId="Char0">
    <w:name w:val="页脚 Char"/>
    <w:basedOn w:val="a0"/>
    <w:link w:val="a5"/>
    <w:uiPriority w:val="99"/>
    <w:locked/>
    <w:rPr>
      <w:rFonts w:ascii="宋体" w:eastAsia="宋体" w:hAnsi="宋体" w:cs="宋体" w:hint="eastAsia"/>
      <w:sz w:val="18"/>
      <w:szCs w:val="18"/>
    </w:rPr>
  </w:style>
  <w:style w:type="paragraph" w:styleId="a6">
    <w:name w:val="Balloon Text"/>
    <w:basedOn w:val="a"/>
    <w:link w:val="Char1"/>
    <w:uiPriority w:val="99"/>
    <w:semiHidden/>
    <w:unhideWhenUsed/>
    <w:rPr>
      <w:sz w:val="18"/>
      <w:szCs w:val="18"/>
    </w:rPr>
  </w:style>
  <w:style w:type="character" w:customStyle="1" w:styleId="Char1">
    <w:name w:val="批注框文本 Char"/>
    <w:basedOn w:val="a0"/>
    <w:link w:val="a6"/>
    <w:uiPriority w:val="99"/>
    <w:locked/>
    <w:rPr>
      <w:rFonts w:ascii="宋体" w:eastAsia="宋体" w:hAnsi="宋体" w:cs="宋体" w:hint="eastAsia"/>
      <w:sz w:val="18"/>
      <w:szCs w:val="18"/>
    </w:rPr>
  </w:style>
  <w:style w:type="paragraph" w:styleId="a7">
    <w:name w:val="List Paragraph"/>
    <w:basedOn w:val="a"/>
    <w:uiPriority w:val="99"/>
    <w:semiHidden/>
    <w:qFormat/>
    <w:pPr>
      <w:ind w:firstLineChars="200" w:firstLine="420"/>
    </w:pPr>
  </w:style>
  <w:style w:type="paragraph" w:customStyle="1" w:styleId="Heading51">
    <w:name w:val="Heading #5|1"/>
    <w:basedOn w:val="a"/>
    <w:uiPriority w:val="99"/>
    <w:semiHidden/>
    <w:pPr>
      <w:widowControl w:val="0"/>
      <w:spacing w:after="80" w:line="517" w:lineRule="exact"/>
      <w:ind w:firstLine="550"/>
      <w:jc w:val="both"/>
      <w:outlineLvl w:val="4"/>
    </w:pPr>
    <w:rPr>
      <w:b/>
      <w:bCs/>
      <w:kern w:val="2"/>
      <w:sz w:val="30"/>
      <w:szCs w:val="30"/>
      <w:lang w:val="zh-TW" w:eastAsia="zh-TW" w:bidi="zh-TW"/>
    </w:rPr>
  </w:style>
  <w:style w:type="character" w:customStyle="1" w:styleId="10">
    <w:name w:val="10"/>
    <w:basedOn w:val="a0"/>
    <w:rPr>
      <w:rFonts w:ascii="Times New Roman" w:hAnsi="Times New Roman" w:cs="Times New Roman" w:hint="default"/>
    </w:rPr>
  </w:style>
  <w:style w:type="table" w:styleId="a8">
    <w:name w:val="Table Grid"/>
    <w:basedOn w:val="a1"/>
    <w:uiPriority w:val="99"/>
    <w:rsid w:val="007A18E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86169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收入决算图</a:t>
            </a:r>
          </a:p>
        </c:rich>
      </c:tx>
    </c:title>
    <c:view3D>
      <c:rotX val="30"/>
      <c:perspective val="30"/>
    </c:view3D>
    <c:plotArea>
      <c:layout/>
      <c:pie3DChart>
        <c:varyColors val="1"/>
        <c:ser>
          <c:idx val="0"/>
          <c:order val="0"/>
          <c:tx>
            <c:strRef>
              <c:f>Sheet1!$B$1</c:f>
              <c:strCache>
                <c:ptCount val="1"/>
                <c:pt idx="0">
                  <c:v>销售额</c:v>
                </c:pt>
              </c:strCache>
            </c:strRef>
          </c:tx>
          <c:spPr>
            <a:solidFill>
              <a:schemeClr val="tx2">
                <a:lumMod val="60000"/>
                <a:lumOff val="40000"/>
              </a:schemeClr>
            </a:solidFill>
          </c:spPr>
          <c:dPt>
            <c:idx val="1"/>
            <c:spPr>
              <a:solidFill>
                <a:srgbClr val="FFC000"/>
              </a:solidFill>
            </c:spPr>
          </c:dPt>
          <c:dPt>
            <c:idx val="2"/>
            <c:spPr>
              <a:solidFill>
                <a:srgbClr val="7030A0"/>
              </a:solidFill>
            </c:spPr>
          </c:dPt>
          <c:dLbls>
            <c:dLbl>
              <c:idx val="0"/>
              <c:numFmt formatCode="0.00%" sourceLinked="0"/>
              <c:spPr/>
              <c:txPr>
                <a:bodyPr/>
                <a:lstStyle/>
                <a:p>
                  <a:pPr>
                    <a:defRPr/>
                  </a:pPr>
                  <a:endParaRPr lang="zh-CN"/>
                </a:p>
              </c:txPr>
              <c:dLblPos val="bestFit"/>
              <c:showCatName val="1"/>
              <c:showPercent val="1"/>
            </c:dLbl>
            <c:dLbl>
              <c:idx val="1"/>
              <c:layout>
                <c:manualLayout>
                  <c:x val="-6.5353694758769107E-2"/>
                  <c:y val="5.2021777427927506E-3"/>
                </c:manualLayout>
              </c:layout>
              <c:numFmt formatCode="0.00%" sourceLinked="0"/>
              <c:spPr/>
              <c:txPr>
                <a:bodyPr/>
                <a:lstStyle/>
                <a:p>
                  <a:pPr>
                    <a:defRPr/>
                  </a:pPr>
                  <a:endParaRPr lang="zh-CN"/>
                </a:p>
              </c:txPr>
              <c:dLblPos val="bestFit"/>
              <c:showCatName val="1"/>
              <c:showPercent val="1"/>
            </c:dLbl>
            <c:dLbl>
              <c:idx val="2"/>
              <c:layout>
                <c:manualLayout>
                  <c:x val="0.20793384053724931"/>
                  <c:y val="3.9777375686429837E-3"/>
                </c:manualLayout>
              </c:layout>
              <c:numFmt formatCode="0.00%" sourceLinked="0"/>
              <c:spPr/>
              <c:txPr>
                <a:bodyPr/>
                <a:lstStyle/>
                <a:p>
                  <a:pPr>
                    <a:defRPr/>
                  </a:pPr>
                  <a:endParaRPr lang="zh-CN"/>
                </a:p>
              </c:txPr>
              <c:dLblPos val="bestFit"/>
              <c:showCatName val="1"/>
              <c:showPercent val="1"/>
            </c:dLbl>
            <c:showCatName val="1"/>
            <c:showPercent val="1"/>
            <c:showLeaderLines val="1"/>
          </c:dLbls>
          <c:cat>
            <c:strRef>
              <c:f>Sheet1!$A$2:$A$4</c:f>
              <c:strCache>
                <c:ptCount val="3"/>
                <c:pt idx="0">
                  <c:v>财政拨款收入</c:v>
                </c:pt>
                <c:pt idx="1">
                  <c:v>事业收入</c:v>
                </c:pt>
                <c:pt idx="2">
                  <c:v>其他收入</c:v>
                </c:pt>
              </c:strCache>
            </c:strRef>
          </c:cat>
          <c:val>
            <c:numRef>
              <c:f>Sheet1!$B$2:$B$4</c:f>
              <c:numCache>
                <c:formatCode>General</c:formatCode>
                <c:ptCount val="3"/>
                <c:pt idx="0">
                  <c:v>22431.329999999994</c:v>
                </c:pt>
                <c:pt idx="1">
                  <c:v>690.97</c:v>
                </c:pt>
                <c:pt idx="2">
                  <c:v>195.93</c:v>
                </c:pt>
              </c:numCache>
            </c:numRef>
          </c:val>
        </c:ser>
      </c:pie3DChart>
      <c:spPr>
        <a:noFill/>
        <a:ln w="25467">
          <a:noFill/>
        </a:ln>
      </c:spPr>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7" b="1" i="0" u="none" strike="noStrike" baseline="0">
                <a:effectLst/>
              </a:rPr>
              <a:t>支出决算图</a:t>
            </a:r>
            <a:endParaRPr lang="zh-CN" altLang="en-US"/>
          </a:p>
        </c:rich>
      </c:tx>
      <c:layout>
        <c:manualLayout>
          <c:xMode val="edge"/>
          <c:yMode val="edge"/>
          <c:x val="0.55706927379578863"/>
          <c:y val="5.3806833467850416E-2"/>
        </c:manualLayout>
      </c:layout>
    </c:title>
    <c:view3D>
      <c:rotX val="30"/>
      <c:perspective val="30"/>
    </c:view3D>
    <c:plotArea>
      <c:layout>
        <c:manualLayout>
          <c:layoutTarget val="inner"/>
          <c:xMode val="edge"/>
          <c:yMode val="edge"/>
          <c:x val="0.10758083285876488"/>
          <c:y val="0.24463917257867521"/>
          <c:w val="0.68253418902944107"/>
          <c:h val="0.65339951317966471"/>
        </c:manualLayout>
      </c:layout>
      <c:pie3DChart>
        <c:varyColors val="1"/>
        <c:ser>
          <c:idx val="0"/>
          <c:order val="0"/>
          <c:tx>
            <c:strRef>
              <c:f>Sheet1!$B$1</c:f>
              <c:strCache>
                <c:ptCount val="1"/>
                <c:pt idx="0">
                  <c:v>销售额</c:v>
                </c:pt>
              </c:strCache>
            </c:strRef>
          </c:tx>
          <c:spPr>
            <a:solidFill>
              <a:schemeClr val="tx2">
                <a:lumMod val="60000"/>
                <a:lumOff val="40000"/>
              </a:schemeClr>
            </a:solidFill>
          </c:spPr>
          <c:dPt>
            <c:idx val="1"/>
            <c:spPr>
              <a:solidFill>
                <a:srgbClr val="FFC000"/>
              </a:solidFill>
            </c:spPr>
          </c:dPt>
          <c:dLbls>
            <c:dLbl>
              <c:idx val="0"/>
              <c:numFmt formatCode="0.00%" sourceLinked="0"/>
              <c:spPr/>
              <c:txPr>
                <a:bodyPr/>
                <a:lstStyle/>
                <a:p>
                  <a:pPr>
                    <a:defRPr/>
                  </a:pPr>
                  <a:endParaRPr lang="zh-CN"/>
                </a:p>
              </c:txPr>
              <c:dLblPos val="bestFit"/>
              <c:showCatName val="1"/>
              <c:showPercent val="1"/>
            </c:dLbl>
            <c:dLbl>
              <c:idx val="1"/>
              <c:layout>
                <c:manualLayout>
                  <c:x val="-4.5728322768318216E-2"/>
                  <c:y val="-3.1957290168450322E-2"/>
                </c:manualLayout>
              </c:layout>
              <c:numFmt formatCode="0.00%" sourceLinked="0"/>
              <c:spPr/>
              <c:txPr>
                <a:bodyPr/>
                <a:lstStyle/>
                <a:p>
                  <a:pPr>
                    <a:defRPr/>
                  </a:pPr>
                  <a:endParaRPr lang="zh-CN"/>
                </a:p>
              </c:txPr>
              <c:dLblPos val="bestFit"/>
              <c:showCatName val="1"/>
              <c:showPercent val="1"/>
            </c:dLbl>
            <c:numFmt formatCode="0.00%" sourceLinked="0"/>
            <c:showCatName val="1"/>
            <c:showPercent val="1"/>
            <c:showLeaderLines val="1"/>
          </c:dLbls>
          <c:cat>
            <c:strRef>
              <c:f>Sheet1!$A$2:$A$3</c:f>
              <c:strCache>
                <c:ptCount val="2"/>
                <c:pt idx="0">
                  <c:v>项目支出</c:v>
                </c:pt>
                <c:pt idx="1">
                  <c:v>基本支出</c:v>
                </c:pt>
              </c:strCache>
            </c:strRef>
          </c:cat>
          <c:val>
            <c:numRef>
              <c:f>Sheet1!$B$2:$B$3</c:f>
              <c:numCache>
                <c:formatCode>General</c:formatCode>
                <c:ptCount val="2"/>
                <c:pt idx="0">
                  <c:v>22009.23</c:v>
                </c:pt>
                <c:pt idx="1">
                  <c:v>842.7</c:v>
                </c:pt>
              </c:numCache>
            </c:numRef>
          </c:val>
        </c:ser>
      </c:pie3DChart>
      <c:spPr>
        <a:noFill/>
        <a:ln w="25485">
          <a:noFill/>
        </a:ln>
      </c:spPr>
    </c:plotArea>
    <c:legend>
      <c:legendPos val="r"/>
    </c:legend>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CB3EE-719A-4621-8CE4-9C98791C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30</Pages>
  <Words>2446</Words>
  <Characters>13944</Characters>
  <Application>Microsoft Office Word</Application>
  <DocSecurity>0</DocSecurity>
  <Lines>116</Lines>
  <Paragraphs>32</Paragraphs>
  <ScaleCrop>false</ScaleCrop>
  <Company/>
  <LinksUpToDate>false</LinksUpToDate>
  <CharactersWithSpaces>16358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lenovo</cp:lastModifiedBy>
  <cp:revision>13</cp:revision>
  <cp:lastPrinted>2022-09-06T07:35:00Z</cp:lastPrinted>
  <dcterms:created xsi:type="dcterms:W3CDTF">2022-09-06T03:42:00Z</dcterms:created>
  <dcterms:modified xsi:type="dcterms:W3CDTF">2022-09-16T06:47:00Z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69BBC06AB1FB4DD984F959E5CB2F4774</vt:lpwstr>
  </property>
</Properties>
</file>